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1" w:rsidRDefault="007E551D" w:rsidP="007C14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1B38" w:rsidRPr="008B7519" w:rsidRDefault="003D2D95" w:rsidP="008B7519">
      <w:pPr>
        <w:pStyle w:val="Otsikko1"/>
        <w:rPr>
          <w:b/>
        </w:rPr>
      </w:pPr>
      <w:r>
        <w:t xml:space="preserve">Itä-Suomen </w:t>
      </w:r>
      <w:r w:rsidR="00751859">
        <w:t>hallitusohjelmatavoitteet</w:t>
      </w:r>
      <w:r w:rsidR="006249B5">
        <w:t xml:space="preserve"> 2015</w:t>
      </w:r>
    </w:p>
    <w:p w:rsidR="00CA6509" w:rsidRDefault="00CA6509" w:rsidP="0068224A">
      <w:pPr>
        <w:pStyle w:val="Otsikko1"/>
      </w:pPr>
    </w:p>
    <w:p w:rsidR="00B64687" w:rsidRDefault="0068224A" w:rsidP="0068224A">
      <w:pPr>
        <w:pStyle w:val="Otsikko1"/>
      </w:pPr>
      <w:r>
        <w:t>Liikenne</w:t>
      </w:r>
    </w:p>
    <w:p w:rsidR="0068224A" w:rsidRDefault="0068224A"/>
    <w:p w:rsidR="005717DA" w:rsidRDefault="0068224A">
      <w:r>
        <w:t>Itä-Suomen liikennestrategia päivitetään talven ja kevään aikana 2014–2015. Hallitusohjelmatavoitteissa tukeudutaan liikenneasioissa Itä-Suomen liikennestrategiaan.</w:t>
      </w:r>
      <w:r w:rsidR="007D17A3">
        <w:t xml:space="preserve"> </w:t>
      </w:r>
      <w:r w:rsidR="00CC5E2C">
        <w:t>Eduskunnan liikenneselonteoissa määritetyt hankkeet on toteutettava sellaisenaan ilman, että määritettyjen tavoitteiden ohi menee ylimääräisiä hankkeita, kuten kaavailtu Turun ja Helsingin välinen matka-ajaltaan tunnin kestävä junayhteys.</w:t>
      </w:r>
    </w:p>
    <w:p w:rsidR="003D2D95" w:rsidRPr="003D2D95" w:rsidRDefault="003D2D95">
      <w:pPr>
        <w:rPr>
          <w:b/>
        </w:rPr>
      </w:pPr>
      <w:r w:rsidRPr="003D2D95">
        <w:rPr>
          <w:b/>
        </w:rPr>
        <w:t>Itä-Suomen maakuntien mielestä</w:t>
      </w:r>
      <w:r>
        <w:rPr>
          <w:b/>
        </w:rPr>
        <w:t>:</w:t>
      </w:r>
    </w:p>
    <w:p w:rsidR="003D2D95" w:rsidRPr="003D2D95" w:rsidRDefault="003D2D95" w:rsidP="003D2D95">
      <w:pPr>
        <w:pStyle w:val="Luettelokappale"/>
        <w:numPr>
          <w:ilvl w:val="0"/>
          <w:numId w:val="20"/>
        </w:numPr>
        <w:rPr>
          <w:b/>
        </w:rPr>
      </w:pPr>
      <w:r w:rsidRPr="003D2D95">
        <w:rPr>
          <w:b/>
        </w:rPr>
        <w:t>Itä-Suomen liikennestrategian linjaukset ja siinä oleva hankelista tulee ottaa huomioon uusia liikennehankkeita suunniteltaessa</w:t>
      </w:r>
      <w:r w:rsidR="00BA3072">
        <w:rPr>
          <w:b/>
        </w:rPr>
        <w:t>.</w:t>
      </w:r>
    </w:p>
    <w:p w:rsidR="003D2D95" w:rsidRPr="003D2D95" w:rsidRDefault="003D2D95" w:rsidP="003D2D95">
      <w:pPr>
        <w:pStyle w:val="Luettelokappale"/>
        <w:numPr>
          <w:ilvl w:val="0"/>
          <w:numId w:val="20"/>
        </w:numPr>
        <w:rPr>
          <w:b/>
        </w:rPr>
      </w:pPr>
      <w:r w:rsidRPr="003D2D95">
        <w:rPr>
          <w:b/>
        </w:rPr>
        <w:t xml:space="preserve">Kansainväliset yhteydet itään ja pohjoiseen on otettava </w:t>
      </w:r>
      <w:r>
        <w:rPr>
          <w:b/>
        </w:rPr>
        <w:t>keskeisiksi kehityskohteiksi</w:t>
      </w:r>
    </w:p>
    <w:p w:rsidR="003D2D95" w:rsidRDefault="003D2D95" w:rsidP="003D2D95">
      <w:pPr>
        <w:pStyle w:val="Luettelokappale"/>
        <w:numPr>
          <w:ilvl w:val="0"/>
          <w:numId w:val="20"/>
        </w:numPr>
        <w:rPr>
          <w:b/>
        </w:rPr>
      </w:pPr>
      <w:r w:rsidRPr="003D2D95">
        <w:rPr>
          <w:b/>
        </w:rPr>
        <w:t>V</w:t>
      </w:r>
      <w:r>
        <w:rPr>
          <w:b/>
        </w:rPr>
        <w:t xml:space="preserve">altatie </w:t>
      </w:r>
      <w:r w:rsidRPr="003D2D95">
        <w:rPr>
          <w:b/>
        </w:rPr>
        <w:t xml:space="preserve">5 on saatava osaksi TEN-T </w:t>
      </w:r>
      <w:r>
        <w:rPr>
          <w:b/>
        </w:rPr>
        <w:t>ydin</w:t>
      </w:r>
      <w:r w:rsidRPr="003D2D95">
        <w:rPr>
          <w:b/>
        </w:rPr>
        <w:t>verkkoa</w:t>
      </w:r>
      <w:r w:rsidR="00BA3072">
        <w:rPr>
          <w:b/>
        </w:rPr>
        <w:t>.</w:t>
      </w:r>
    </w:p>
    <w:p w:rsidR="008D154D" w:rsidRDefault="008D154D" w:rsidP="003D2D95">
      <w:pPr>
        <w:pStyle w:val="Luettelokappale"/>
        <w:numPr>
          <w:ilvl w:val="0"/>
          <w:numId w:val="20"/>
        </w:numPr>
        <w:rPr>
          <w:b/>
        </w:rPr>
      </w:pPr>
      <w:r w:rsidRPr="00BA3072">
        <w:rPr>
          <w:b/>
        </w:rPr>
        <w:t>Lentoliikenne maakuntiin on välttämätöntä maakuntien elinvoimalle ja yritysten toimintaedellytyksille</w:t>
      </w:r>
      <w:r w:rsidR="00BA3072">
        <w:rPr>
          <w:b/>
        </w:rPr>
        <w:t>.</w:t>
      </w:r>
    </w:p>
    <w:p w:rsidR="00CC5E2C" w:rsidRPr="00CC5E2C" w:rsidRDefault="00CC5E2C" w:rsidP="00CC5E2C">
      <w:pPr>
        <w:pStyle w:val="Luettelokappale"/>
        <w:numPr>
          <w:ilvl w:val="0"/>
          <w:numId w:val="20"/>
        </w:numPr>
        <w:rPr>
          <w:b/>
        </w:rPr>
      </w:pPr>
      <w:r>
        <w:rPr>
          <w:b/>
        </w:rPr>
        <w:t>Alem</w:t>
      </w:r>
      <w:r w:rsidRPr="00895E34">
        <w:rPr>
          <w:b/>
        </w:rPr>
        <w:t>man asteisen tieverkon rahoitukseen on taattava riittävä rahoitus esimerkiksi ohjaamalla Metsähallituksen tuloutuksesta osa (30 %) tieverkon kunnostamiseen</w:t>
      </w:r>
      <w:r w:rsidRPr="00BA3072">
        <w:t>.</w:t>
      </w:r>
    </w:p>
    <w:p w:rsidR="00CA6509" w:rsidRDefault="00CA6509" w:rsidP="008B7519">
      <w:pPr>
        <w:pStyle w:val="Otsikko1"/>
        <w:rPr>
          <w:rFonts w:asciiTheme="minorHAnsi" w:eastAsiaTheme="minorHAnsi" w:hAnsiTheme="minorHAnsi" w:cstheme="minorBidi"/>
          <w:color w:val="FF0000"/>
          <w:sz w:val="22"/>
          <w:szCs w:val="22"/>
        </w:rPr>
      </w:pPr>
    </w:p>
    <w:p w:rsidR="004D04C0" w:rsidRDefault="003D2D95" w:rsidP="008B7519">
      <w:pPr>
        <w:pStyle w:val="Otsikko1"/>
      </w:pPr>
      <w:r>
        <w:t>Elinvoimaiset alueet</w:t>
      </w:r>
    </w:p>
    <w:p w:rsidR="00B64687" w:rsidRDefault="00B64687" w:rsidP="007E551D"/>
    <w:p w:rsidR="00B64687" w:rsidRDefault="00B64687" w:rsidP="009605F8">
      <w:r>
        <w:t xml:space="preserve">Kansallista </w:t>
      </w:r>
      <w:r w:rsidR="0040226B">
        <w:t>aluepolitiikkaa on</w:t>
      </w:r>
      <w:r w:rsidR="00E11F93">
        <w:t xml:space="preserve"> aiemmin</w:t>
      </w:r>
      <w:r w:rsidR="0040226B">
        <w:t xml:space="preserve"> rahoitettu maakunnan kehittämisrahalla, joka</w:t>
      </w:r>
      <w:r>
        <w:t xml:space="preserve"> </w:t>
      </w:r>
      <w:r w:rsidR="00E11F93">
        <w:t>kohdennettiin</w:t>
      </w:r>
      <w:r>
        <w:t xml:space="preserve"> maakuntaohjelmien</w:t>
      </w:r>
      <w:r w:rsidR="0040226B">
        <w:t xml:space="preserve"> mukaisiin kehittämishankkeisiin. Maakunnan kehittämisrahalla </w:t>
      </w:r>
      <w:r w:rsidR="00E11F93">
        <w:t>rahoitettiin</w:t>
      </w:r>
      <w:r w:rsidR="0040226B">
        <w:t xml:space="preserve"> alueelle ja yhteisöille tärkeitä pienempiä valmistelu- ja käynnistyshankkeita. </w:t>
      </w:r>
      <w:r>
        <w:t xml:space="preserve"> </w:t>
      </w:r>
      <w:r w:rsidR="007E551D" w:rsidRPr="00B64687">
        <w:t>Ohjelmiin kohdentamatonta maakunnan kehittämisrahaa on leikattu rajusti viime vuosina ja vuoden 2015 va</w:t>
      </w:r>
      <w:r w:rsidR="00E11F93">
        <w:t>ltion talousarviossa määräraha lakkautettiin</w:t>
      </w:r>
      <w:r w:rsidR="007E551D" w:rsidRPr="00B64687">
        <w:t xml:space="preserve"> kokonaan. </w:t>
      </w:r>
    </w:p>
    <w:p w:rsidR="007D17A3" w:rsidRPr="007D17A3" w:rsidRDefault="00B64687" w:rsidP="00B64687">
      <w:pPr>
        <w:rPr>
          <w:color w:val="FF0000"/>
        </w:rPr>
      </w:pPr>
      <w:r>
        <w:t>Maakuntajohtajien ja maakuntahallitusten puheenjohtajien syksyllä 2014 te</w:t>
      </w:r>
      <w:r w:rsidR="00E11F93">
        <w:t xml:space="preserve">kemän kannanoton mukaisesti </w:t>
      </w:r>
      <w:r>
        <w:t>k</w:t>
      </w:r>
      <w:r w:rsidRPr="00B64687">
        <w:t>oko maahan kehitetään parlamentaarisen valmistelun kautta alueiden omiin vahvuuksiin, tietämykseen ja erityispiirteisiin perustuva demokraattista aluehallintoa. Ratkaisun pohjaksi tarvitaan sekä valtio- että kuntahallinnon aluetason tehtäviä koskeva selvitys. Tavoitteena on myös monikerroksisen hallinnon keventäminen, erilaisten aluejakojen yhtenäistäminen ja paikallisen päätösvallan vahvistaminen.</w:t>
      </w:r>
    </w:p>
    <w:p w:rsidR="007D17A3" w:rsidRDefault="007D17A3" w:rsidP="00B64687">
      <w:r>
        <w:t>Työllisyysperusteiden investointimäärärahojen laskiessa ja sisäilmaongelmista kärsivien koulujen korjausmäärärahan poistuessa, on EU:n rakennerahasto-ohjelman tulkinnoilla mahdollistettava myös laajemmin konkreettiset investoinnit.</w:t>
      </w:r>
    </w:p>
    <w:p w:rsidR="00BA3072" w:rsidRDefault="007D17A3" w:rsidP="00BA3072">
      <w:r>
        <w:lastRenderedPageBreak/>
        <w:t>Alueellistamisen kysymyksissä on huomioitava myös negatiivinen alueellistaminen, jossa pikku hiljaa maakunnista lopetetaan valtion työpaikkoja. Näiden kokonaismäärä on vuosien</w:t>
      </w:r>
      <w:r w:rsidR="00BA3072">
        <w:t xml:space="preserve"> mittaan laskettuna huomattava. </w:t>
      </w:r>
    </w:p>
    <w:p w:rsidR="00BA3072" w:rsidRPr="00BA3072" w:rsidRDefault="00BA3072" w:rsidP="00BA3072">
      <w:pPr>
        <w:rPr>
          <w:b/>
          <w:color w:val="FF0000"/>
        </w:rPr>
      </w:pPr>
      <w:r w:rsidRPr="00BA3072">
        <w:t>Yrityst</w:t>
      </w:r>
      <w:r>
        <w:t>en kuljetustukea on kehitettävä pitkien etäisyyksien kompensaationa. Yhtenä mallina tulisi arvioida Ruotsin mallin mukainen laaja-alaisempi logistiikkatuki.</w:t>
      </w:r>
    </w:p>
    <w:p w:rsidR="009605F8" w:rsidRPr="00B64687" w:rsidRDefault="009605F8" w:rsidP="00B64687"/>
    <w:p w:rsidR="003D2D95" w:rsidRPr="003D2D95" w:rsidRDefault="003D2D95" w:rsidP="003D2D95">
      <w:pPr>
        <w:rPr>
          <w:b/>
        </w:rPr>
      </w:pPr>
      <w:r w:rsidRPr="003D2D95">
        <w:rPr>
          <w:b/>
        </w:rPr>
        <w:t>Itä-Suomen maakuntien mielestä</w:t>
      </w:r>
      <w:r>
        <w:rPr>
          <w:b/>
        </w:rPr>
        <w:t>:</w:t>
      </w:r>
    </w:p>
    <w:p w:rsidR="003D2D95" w:rsidRPr="009605F8" w:rsidRDefault="003D2D95" w:rsidP="003D2D95">
      <w:pPr>
        <w:pStyle w:val="Luettelokappale"/>
        <w:numPr>
          <w:ilvl w:val="0"/>
          <w:numId w:val="21"/>
        </w:numPr>
        <w:rPr>
          <w:b/>
        </w:rPr>
      </w:pPr>
      <w:r w:rsidRPr="009605F8">
        <w:rPr>
          <w:b/>
        </w:rPr>
        <w:t xml:space="preserve">Valtion suunnitellessa aluehallinnon kokonaisuudistusta on valtion toimintojen läsnäolon merkitys huomioitava alueellisesti. </w:t>
      </w:r>
      <w:r w:rsidR="009605F8" w:rsidRPr="009605F8">
        <w:rPr>
          <w:b/>
        </w:rPr>
        <w:t>Ratkaisun pohjaksi tarvitaan sekä valtio- että kuntahallinnon aluetason tehtäviä koskeva selvitys.</w:t>
      </w:r>
    </w:p>
    <w:p w:rsidR="003D2D95" w:rsidRPr="009605F8" w:rsidRDefault="003D2D95" w:rsidP="003D2D95">
      <w:pPr>
        <w:pStyle w:val="Luettelokappale"/>
        <w:numPr>
          <w:ilvl w:val="0"/>
          <w:numId w:val="21"/>
        </w:numPr>
        <w:rPr>
          <w:b/>
        </w:rPr>
      </w:pPr>
      <w:r w:rsidRPr="009605F8">
        <w:rPr>
          <w:b/>
        </w:rPr>
        <w:t xml:space="preserve">Maakunnan </w:t>
      </w:r>
      <w:r w:rsidRPr="00BA3072">
        <w:rPr>
          <w:b/>
        </w:rPr>
        <w:t xml:space="preserve">kehittämisraha </w:t>
      </w:r>
      <w:r w:rsidR="00F03FD1" w:rsidRPr="00BA3072">
        <w:rPr>
          <w:b/>
        </w:rPr>
        <w:t xml:space="preserve">ja työllisyysperusteinen valtion investointiavustus </w:t>
      </w:r>
      <w:r w:rsidRPr="009605F8">
        <w:rPr>
          <w:b/>
        </w:rPr>
        <w:t>on palautettava aluekehittämisen työkaluksi</w:t>
      </w:r>
      <w:r w:rsidR="009605F8" w:rsidRPr="009605F8">
        <w:rPr>
          <w:b/>
        </w:rPr>
        <w:t>.</w:t>
      </w:r>
    </w:p>
    <w:p w:rsidR="003D2D95" w:rsidRDefault="009605F8" w:rsidP="009605F8">
      <w:pPr>
        <w:pStyle w:val="Luettelokappale"/>
        <w:numPr>
          <w:ilvl w:val="0"/>
          <w:numId w:val="21"/>
        </w:numPr>
        <w:rPr>
          <w:b/>
        </w:rPr>
      </w:pPr>
      <w:r w:rsidRPr="009605F8">
        <w:rPr>
          <w:b/>
        </w:rPr>
        <w:t>Maakunta on luonnollinen ja kansalaisille selkeän kokoinen alue, jonka puitteissa pystytään hyvin järjestämään ylikunnalliset toiminnot sekä valtion aluehallinto riittävän lähellä kansalaisia.</w:t>
      </w:r>
    </w:p>
    <w:p w:rsidR="001C07A1" w:rsidRPr="00BA3072" w:rsidRDefault="001C07A1" w:rsidP="009605F8">
      <w:pPr>
        <w:pStyle w:val="Luettelokappale"/>
        <w:numPr>
          <w:ilvl w:val="0"/>
          <w:numId w:val="21"/>
        </w:numPr>
        <w:rPr>
          <w:b/>
        </w:rPr>
      </w:pPr>
      <w:r w:rsidRPr="00BA3072">
        <w:rPr>
          <w:b/>
        </w:rPr>
        <w:t>Maakuntien vahvuuksia tukevaa alueellistamispolitiikkaa on jatkettava</w:t>
      </w:r>
      <w:r w:rsidR="00BA3072">
        <w:rPr>
          <w:b/>
        </w:rPr>
        <w:t>.</w:t>
      </w:r>
    </w:p>
    <w:p w:rsidR="000F38DD" w:rsidRDefault="000F38DD" w:rsidP="009605F8">
      <w:pPr>
        <w:pStyle w:val="Luettelokappale"/>
        <w:numPr>
          <w:ilvl w:val="0"/>
          <w:numId w:val="21"/>
        </w:numPr>
        <w:rPr>
          <w:b/>
        </w:rPr>
      </w:pPr>
      <w:r w:rsidRPr="00BA3072">
        <w:rPr>
          <w:b/>
        </w:rPr>
        <w:t>Yrityst</w:t>
      </w:r>
      <w:r w:rsidR="00BA3072">
        <w:rPr>
          <w:b/>
        </w:rPr>
        <w:t xml:space="preserve">en kuljetustukea on kehitettävä </w:t>
      </w:r>
      <w:r w:rsidRPr="00BA3072">
        <w:rPr>
          <w:b/>
        </w:rPr>
        <w:t>pitkiä etäisyyksiä kompensoivana tukimuotona</w:t>
      </w:r>
      <w:r w:rsidR="00BA3072">
        <w:rPr>
          <w:b/>
        </w:rPr>
        <w:t>.</w:t>
      </w:r>
    </w:p>
    <w:p w:rsidR="00BA3072" w:rsidRPr="00BA3072" w:rsidRDefault="00BA3072" w:rsidP="009605F8">
      <w:pPr>
        <w:pStyle w:val="Luettelokappale"/>
        <w:numPr>
          <w:ilvl w:val="0"/>
          <w:numId w:val="21"/>
        </w:numPr>
        <w:rPr>
          <w:b/>
        </w:rPr>
      </w:pPr>
      <w:r>
        <w:rPr>
          <w:b/>
        </w:rPr>
        <w:t>Kilpailukykyä heikentävää turhaa sääntelyä</w:t>
      </w:r>
      <w:r w:rsidR="00CC5E2C">
        <w:rPr>
          <w:b/>
        </w:rPr>
        <w:t xml:space="preserve">, kuten erilaisten lupien käsittelyä pidentävää byrokratiaa ja kohtuuttomia maksuja </w:t>
      </w:r>
      <w:r>
        <w:rPr>
          <w:b/>
        </w:rPr>
        <w:t>tulee karsia</w:t>
      </w:r>
      <w:r w:rsidR="00CC5E2C">
        <w:rPr>
          <w:b/>
        </w:rPr>
        <w:t>.</w:t>
      </w:r>
    </w:p>
    <w:p w:rsidR="009605F8" w:rsidRPr="009605F8" w:rsidRDefault="009605F8" w:rsidP="009605F8">
      <w:pPr>
        <w:rPr>
          <w:b/>
        </w:rPr>
      </w:pPr>
    </w:p>
    <w:p w:rsidR="007B6730" w:rsidRDefault="00691BDD" w:rsidP="006072CD">
      <w:pPr>
        <w:pStyle w:val="Otsikko1"/>
      </w:pPr>
      <w:r w:rsidRPr="00301B38">
        <w:t>Biotalous</w:t>
      </w:r>
      <w:r w:rsidR="0068224A">
        <w:t xml:space="preserve"> ja Metsä kilpailukykytekijöinä</w:t>
      </w:r>
    </w:p>
    <w:p w:rsidR="00BA3072" w:rsidRDefault="00BA3072" w:rsidP="00BA3072"/>
    <w:p w:rsidR="00BA3072" w:rsidRDefault="009605F8" w:rsidP="00BA3072">
      <w:r>
        <w:t>Metsä ja biotalouden kehitystä mahdollistetaan luomalla suomalaiselle metsäteollisuudelle tasapuoliset kilpailuedellytykset muun Euroopan kanssa muun muassa varmistamalla infrastruktuurin toimiv</w:t>
      </w:r>
      <w:r w:rsidR="00BA3072">
        <w:t>uus, pidättäytymällä turhasta</w:t>
      </w:r>
      <w:r>
        <w:t xml:space="preserve"> kehitystä ja kilpailukykyä heikentävästä sääntelystä sekä suuntaamalla T&amp;K rahoituksesta entistä suurempi osa metsä- ja biotalouteen.</w:t>
      </w:r>
      <w:r w:rsidR="00F4646A">
        <w:t xml:space="preserve"> </w:t>
      </w:r>
    </w:p>
    <w:p w:rsidR="009605F8" w:rsidRPr="00BA3072" w:rsidRDefault="00BA3072" w:rsidP="00BA3072">
      <w:pPr>
        <w:rPr>
          <w:b/>
        </w:rPr>
      </w:pPr>
      <w:r w:rsidRPr="00BA3072">
        <w:t xml:space="preserve">Infrastruktuuri, mukaan lukien alemman asteinen tieverkko on pidettävä sellaisessa kunnossa että se mahdollistaa biotalouden kilpailukykyisen kehittymisen. </w:t>
      </w:r>
      <w:r>
        <w:t>Alemman asteen tieverkon rahoitukseen on etsittävä uudenlaisia keinoja.</w:t>
      </w:r>
    </w:p>
    <w:p w:rsidR="007B6730" w:rsidRPr="00A7423C" w:rsidRDefault="007B6730" w:rsidP="007B6730">
      <w:pPr>
        <w:autoSpaceDE w:val="0"/>
        <w:autoSpaceDN w:val="0"/>
        <w:adjustRightInd w:val="0"/>
        <w:spacing w:after="0" w:line="240" w:lineRule="auto"/>
        <w:rPr>
          <w:rFonts w:cs="Amplitude-Regular"/>
        </w:rPr>
      </w:pPr>
      <w:r>
        <w:t xml:space="preserve">Metsäklusterin uusiutuminen on </w:t>
      </w:r>
      <w:r w:rsidR="0068224A">
        <w:t>Itä-</w:t>
      </w:r>
      <w:r>
        <w:t>Suomelle keskeinen kysymys</w:t>
      </w:r>
      <w:r w:rsidRPr="00A7423C">
        <w:t xml:space="preserve">. </w:t>
      </w:r>
      <w:r w:rsidRPr="00A7423C">
        <w:rPr>
          <w:rFonts w:cs="Amplitude-Regular"/>
        </w:rPr>
        <w:t>Alueella on pidettävä</w:t>
      </w:r>
    </w:p>
    <w:p w:rsidR="007B6730" w:rsidRDefault="007B6730" w:rsidP="007B6730">
      <w:pPr>
        <w:autoSpaceDE w:val="0"/>
        <w:autoSpaceDN w:val="0"/>
        <w:adjustRightInd w:val="0"/>
        <w:spacing w:after="0" w:line="240" w:lineRule="auto"/>
        <w:rPr>
          <w:rFonts w:cs="Amplitude-Regular"/>
        </w:rPr>
      </w:pPr>
      <w:r w:rsidRPr="00A7423C">
        <w:rPr>
          <w:rFonts w:cs="Amplitude-Regular"/>
        </w:rPr>
        <w:t>huolta metsäteollisuuden toimintaedellytysten säilymisestä,</w:t>
      </w:r>
      <w:r>
        <w:rPr>
          <w:rFonts w:cs="Amplitude-Regular"/>
        </w:rPr>
        <w:t xml:space="preserve"> </w:t>
      </w:r>
      <w:r w:rsidRPr="00A7423C">
        <w:rPr>
          <w:rFonts w:cs="Amplitude-Regular"/>
        </w:rPr>
        <w:t>mutta samalla luotava mahdollisuuksia uudentyyppisen</w:t>
      </w:r>
      <w:r>
        <w:rPr>
          <w:rFonts w:cs="Amplitude-Regular"/>
        </w:rPr>
        <w:t xml:space="preserve"> </w:t>
      </w:r>
      <w:r w:rsidRPr="00A7423C">
        <w:rPr>
          <w:rFonts w:cs="Amplitude-Regular"/>
        </w:rPr>
        <w:t>liiketoiminnan kehittymiselle.</w:t>
      </w:r>
      <w:r w:rsidR="009605F8">
        <w:rPr>
          <w:rFonts w:cs="Amplitude-Regular"/>
        </w:rPr>
        <w:t xml:space="preserve"> Uusia mahdollisuuksia on muun muassa prosessien tehokkuuden parantamisessa, biotuotteiden valmistamisessa ja kehittämisessä, älykkäiden ja ympäristöystävällisten pakkausten kehittämisessä ja puurakentamisen uudistumisessa ja lisäämisessä.</w:t>
      </w:r>
      <w:r w:rsidR="00407981">
        <w:rPr>
          <w:rFonts w:cs="Amplitude-Regular"/>
        </w:rPr>
        <w:t xml:space="preserve"> </w:t>
      </w:r>
      <w:r w:rsidR="00407981" w:rsidRPr="00BA3072">
        <w:rPr>
          <w:rFonts w:cs="Amplitude-Regular"/>
        </w:rPr>
        <w:t>Metsään ja biotalouteen liittyvällä vientiorientoituneella teknologiateollisuudella (mm. metsäkoneet, energiaosaaminen) on suuri aluetaloudellinen merkitys.</w:t>
      </w:r>
    </w:p>
    <w:p w:rsidR="00BA3072" w:rsidRPr="00407981" w:rsidRDefault="00BA3072" w:rsidP="007B6730">
      <w:pPr>
        <w:autoSpaceDE w:val="0"/>
        <w:autoSpaceDN w:val="0"/>
        <w:adjustRightInd w:val="0"/>
        <w:spacing w:after="0" w:line="240" w:lineRule="auto"/>
        <w:rPr>
          <w:rFonts w:cs="Amplitude-Regular"/>
          <w:color w:val="FF0000"/>
        </w:rPr>
      </w:pPr>
    </w:p>
    <w:p w:rsidR="00BA3072" w:rsidRDefault="007B6730" w:rsidP="00895E34">
      <w:pPr>
        <w:autoSpaceDE w:val="0"/>
        <w:autoSpaceDN w:val="0"/>
        <w:adjustRightInd w:val="0"/>
        <w:spacing w:after="0" w:line="240" w:lineRule="auto"/>
        <w:rPr>
          <w:rFonts w:cs="Amplitude-Regular"/>
        </w:rPr>
      </w:pPr>
      <w:r w:rsidRPr="008B3BC3">
        <w:rPr>
          <w:rFonts w:cs="Amplitude-Regular"/>
        </w:rPr>
        <w:t>Kaikkiin näihin osa-alueisiin liittyy kiinteästi tutkimus-,</w:t>
      </w:r>
      <w:r>
        <w:rPr>
          <w:rFonts w:cs="Amplitude-Regular"/>
        </w:rPr>
        <w:t xml:space="preserve"> </w:t>
      </w:r>
      <w:r w:rsidRPr="008B3BC3">
        <w:rPr>
          <w:rFonts w:cs="Amplitude-Regular"/>
        </w:rPr>
        <w:t>kehitys- ja innovaatiotoimintaan panostaminen, liiketoimintamahdollisuuksien</w:t>
      </w:r>
      <w:r>
        <w:rPr>
          <w:rFonts w:cs="Amplitude-Regular"/>
        </w:rPr>
        <w:t xml:space="preserve"> </w:t>
      </w:r>
      <w:r w:rsidRPr="008B3BC3">
        <w:rPr>
          <w:rFonts w:cs="Amplitude-Regular"/>
        </w:rPr>
        <w:t>kehittäminen sekä osaamisen</w:t>
      </w:r>
      <w:r>
        <w:rPr>
          <w:rFonts w:cs="Amplitude-Regular"/>
        </w:rPr>
        <w:t xml:space="preserve"> </w:t>
      </w:r>
      <w:r w:rsidRPr="008B3BC3">
        <w:rPr>
          <w:rFonts w:cs="Amplitude-Regular"/>
        </w:rPr>
        <w:t>ylläpitäminen ja lisääminen.</w:t>
      </w:r>
    </w:p>
    <w:p w:rsidR="00895E34" w:rsidRDefault="00895E34" w:rsidP="00895E34">
      <w:pPr>
        <w:autoSpaceDE w:val="0"/>
        <w:autoSpaceDN w:val="0"/>
        <w:adjustRightInd w:val="0"/>
        <w:spacing w:after="0" w:line="240" w:lineRule="auto"/>
        <w:rPr>
          <w:rFonts w:cs="Amplitude-Regular"/>
        </w:rPr>
      </w:pPr>
    </w:p>
    <w:p w:rsidR="00895E34" w:rsidRPr="00895E34" w:rsidRDefault="00895E34" w:rsidP="00895E34">
      <w:pPr>
        <w:autoSpaceDE w:val="0"/>
        <w:autoSpaceDN w:val="0"/>
        <w:adjustRightInd w:val="0"/>
        <w:spacing w:after="0" w:line="240" w:lineRule="auto"/>
        <w:rPr>
          <w:rFonts w:cs="Amplitude-Regular"/>
        </w:rPr>
      </w:pPr>
    </w:p>
    <w:p w:rsidR="009605F8" w:rsidRDefault="009605F8" w:rsidP="009605F8">
      <w:pPr>
        <w:rPr>
          <w:b/>
        </w:rPr>
      </w:pPr>
      <w:r w:rsidRPr="003D2D95">
        <w:rPr>
          <w:b/>
        </w:rPr>
        <w:lastRenderedPageBreak/>
        <w:t>Itä-Suomen maakuntien mielestä</w:t>
      </w:r>
      <w:r>
        <w:rPr>
          <w:b/>
        </w:rPr>
        <w:t>:</w:t>
      </w:r>
    </w:p>
    <w:p w:rsidR="009605F8" w:rsidRDefault="00895E34" w:rsidP="009605F8">
      <w:pPr>
        <w:pStyle w:val="Luettelokappale"/>
        <w:numPr>
          <w:ilvl w:val="0"/>
          <w:numId w:val="22"/>
        </w:numPr>
        <w:rPr>
          <w:b/>
        </w:rPr>
      </w:pPr>
      <w:r>
        <w:rPr>
          <w:b/>
        </w:rPr>
        <w:t>Uusien energiamuotojen ja innovaatioiden edistämiseksi sääntelyä ja lupamenettelyä on nopeutettava ja joustavoitettava</w:t>
      </w:r>
    </w:p>
    <w:p w:rsidR="00407981" w:rsidRDefault="00F4646A" w:rsidP="00407981">
      <w:pPr>
        <w:pStyle w:val="Luettelokappale"/>
        <w:numPr>
          <w:ilvl w:val="0"/>
          <w:numId w:val="22"/>
        </w:numPr>
        <w:rPr>
          <w:b/>
        </w:rPr>
      </w:pPr>
      <w:r>
        <w:rPr>
          <w:b/>
        </w:rPr>
        <w:t>Biota</w:t>
      </w:r>
      <w:r w:rsidR="00343907">
        <w:rPr>
          <w:b/>
        </w:rPr>
        <w:t xml:space="preserve">louden T&amp;K rahoitus, työkalut, </w:t>
      </w:r>
      <w:r w:rsidR="00343907" w:rsidRPr="00895E34">
        <w:rPr>
          <w:b/>
        </w:rPr>
        <w:t xml:space="preserve">biojalostamoinvestoinnit ja </w:t>
      </w:r>
      <w:r w:rsidR="00C815DD">
        <w:rPr>
          <w:b/>
        </w:rPr>
        <w:t xml:space="preserve">tutkimusympäristöjen </w:t>
      </w:r>
      <w:r>
        <w:rPr>
          <w:b/>
        </w:rPr>
        <w:t>toimintaedellytykset on turvattava Itä-Suomessa</w:t>
      </w:r>
    </w:p>
    <w:p w:rsidR="00CC5E2C" w:rsidRPr="00CC5E2C" w:rsidRDefault="00CC5E2C" w:rsidP="00407981">
      <w:pPr>
        <w:pStyle w:val="Luettelokappale"/>
        <w:numPr>
          <w:ilvl w:val="0"/>
          <w:numId w:val="22"/>
        </w:numPr>
        <w:rPr>
          <w:b/>
        </w:rPr>
      </w:pPr>
      <w:r w:rsidRPr="00CC5E2C">
        <w:rPr>
          <w:b/>
        </w:rPr>
        <w:t>Euroopan metsäinstituutin (EFI) valtion talousarviosta tulevaa perusrahoitusta</w:t>
      </w:r>
      <w:r>
        <w:rPr>
          <w:b/>
        </w:rPr>
        <w:t xml:space="preserve"> on nostettava</w:t>
      </w:r>
      <w:r w:rsidRPr="00CC5E2C">
        <w:rPr>
          <w:b/>
        </w:rPr>
        <w:t xml:space="preserve"> pysyvästi nykytasolta 1,5 miljoonaan euroon vuodessa.</w:t>
      </w:r>
    </w:p>
    <w:p w:rsidR="00CA6509" w:rsidRDefault="00CA6509" w:rsidP="00B3695B">
      <w:pPr>
        <w:pStyle w:val="Otsikko1"/>
        <w:rPr>
          <w:rFonts w:asciiTheme="minorHAnsi" w:eastAsia="Times New Roman" w:hAnsiTheme="minorHAnsi" w:cs="Times New Roman"/>
          <w:color w:val="auto"/>
          <w:sz w:val="22"/>
          <w:szCs w:val="22"/>
          <w:lang w:eastAsia="fi-FI"/>
        </w:rPr>
      </w:pPr>
    </w:p>
    <w:p w:rsidR="00B3695B" w:rsidRDefault="00B3695B" w:rsidP="00B3695B">
      <w:pPr>
        <w:pStyle w:val="Otsikko1"/>
      </w:pPr>
      <w:r>
        <w:t>Koulutus ja osaaminen</w:t>
      </w:r>
    </w:p>
    <w:p w:rsidR="00B3695B" w:rsidRDefault="00F4646A" w:rsidP="00F4646A">
      <w:pPr>
        <w:pStyle w:val="NormaaliWWW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Itä-Suo</w:t>
      </w:r>
      <w:r w:rsidR="00895E34">
        <w:rPr>
          <w:rFonts w:asciiTheme="minorHAnsi" w:hAnsiTheme="minorHAnsi"/>
          <w:sz w:val="22"/>
          <w:szCs w:val="22"/>
        </w:rPr>
        <w:t>meen on muodostunut muun muassa maa</w:t>
      </w:r>
      <w:r>
        <w:rPr>
          <w:rFonts w:asciiTheme="minorHAnsi" w:hAnsiTheme="minorHAnsi"/>
          <w:sz w:val="22"/>
          <w:szCs w:val="22"/>
        </w:rPr>
        <w:t>i</w:t>
      </w:r>
      <w:r w:rsidR="00895E34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man paras puu- ja biotalouden osaamiskeskittymä,</w:t>
      </w:r>
      <w:r w:rsidRPr="005717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jota tukee metsän kasvulle erinomaisesti sopivat luonnonolosuhteet. Puu- ja biotalouden osaamiskeskittymä rakentuu koulutus ja tutkimusympäristöstä, joka tukeutuu alueen yrityksiin, </w:t>
      </w:r>
      <w:r w:rsidRPr="00895E34">
        <w:rPr>
          <w:rFonts w:asciiTheme="minorHAnsi" w:hAnsiTheme="minorHAnsi"/>
          <w:sz w:val="22"/>
          <w:szCs w:val="22"/>
        </w:rPr>
        <w:t>tutkimuslaitoksiin</w:t>
      </w:r>
      <w:r w:rsidR="002E2CD9" w:rsidRPr="00895E34">
        <w:rPr>
          <w:rFonts w:asciiTheme="minorHAnsi" w:hAnsiTheme="minorHAnsi"/>
          <w:sz w:val="22"/>
          <w:szCs w:val="22"/>
        </w:rPr>
        <w:t xml:space="preserve"> (</w:t>
      </w:r>
      <w:r w:rsidR="001C07A1" w:rsidRPr="00895E34">
        <w:rPr>
          <w:rFonts w:asciiTheme="minorHAnsi" w:hAnsiTheme="minorHAnsi"/>
          <w:sz w:val="22"/>
          <w:szCs w:val="22"/>
        </w:rPr>
        <w:t xml:space="preserve">mm. </w:t>
      </w:r>
      <w:r w:rsidR="002E2CD9" w:rsidRPr="00895E34">
        <w:rPr>
          <w:rFonts w:asciiTheme="minorHAnsi" w:hAnsiTheme="minorHAnsi"/>
          <w:sz w:val="22"/>
          <w:szCs w:val="22"/>
        </w:rPr>
        <w:t>Luonnonvarakeskus, EFI</w:t>
      </w:r>
      <w:r w:rsidR="00895E34" w:rsidRPr="00895E34">
        <w:rPr>
          <w:rFonts w:asciiTheme="minorHAnsi" w:hAnsiTheme="minorHAnsi"/>
          <w:sz w:val="22"/>
          <w:szCs w:val="22"/>
        </w:rPr>
        <w:t>)</w:t>
      </w:r>
      <w:r w:rsidRPr="00895E34">
        <w:rPr>
          <w:rFonts w:asciiTheme="minorHAnsi" w:hAnsiTheme="minorHAnsi"/>
          <w:sz w:val="22"/>
          <w:szCs w:val="22"/>
        </w:rPr>
        <w:t xml:space="preserve">, ammattikorkeakouluihin </w:t>
      </w:r>
      <w:r>
        <w:rPr>
          <w:rFonts w:asciiTheme="minorHAnsi" w:hAnsiTheme="minorHAnsi"/>
          <w:sz w:val="22"/>
          <w:szCs w:val="22"/>
        </w:rPr>
        <w:t>sekä Lappeenrannan teknilliseen yliopistoon ja Itä-Suomen yliopistoon. Korkeakoulutus yhdistettynä vahvaan ja monipuoliseen toisen asteen koulutukseen vahvistaa aleen kehittymistä edelleen sen omista lähtökohdista ja vahvuuksista.</w:t>
      </w:r>
    </w:p>
    <w:p w:rsidR="00895E34" w:rsidRPr="00895E34" w:rsidRDefault="00895E34" w:rsidP="00895E34">
      <w:r w:rsidRPr="00895E34">
        <w:t xml:space="preserve">Yliopistouudistuksen yhteydessä sovittiin yliopistojen taloudellisen aseman turvaamisen periaatteet, joista on pidettävä kiinni ja varmistettava yliopistojen tasavertaiset, tuloksellisuuteen perustuvat mahdollisuudet osaamisperusteisen kasvun rakentamiseen. </w:t>
      </w:r>
    </w:p>
    <w:p w:rsidR="00895E34" w:rsidRPr="00F4646A" w:rsidRDefault="00895E34" w:rsidP="00F4646A">
      <w:pPr>
        <w:pStyle w:val="NormaaliWWW"/>
        <w:spacing w:line="276" w:lineRule="auto"/>
        <w:rPr>
          <w:rFonts w:asciiTheme="minorHAnsi" w:hAnsiTheme="minorHAnsi"/>
          <w:sz w:val="22"/>
          <w:szCs w:val="22"/>
        </w:rPr>
      </w:pPr>
    </w:p>
    <w:p w:rsidR="00F4646A" w:rsidRDefault="00F4646A" w:rsidP="00F4646A">
      <w:pPr>
        <w:rPr>
          <w:b/>
        </w:rPr>
      </w:pPr>
      <w:r w:rsidRPr="003D2D95">
        <w:rPr>
          <w:b/>
        </w:rPr>
        <w:t>Itä-Suomen maakuntien mielestä</w:t>
      </w:r>
      <w:r>
        <w:rPr>
          <w:b/>
        </w:rPr>
        <w:t>:</w:t>
      </w:r>
    </w:p>
    <w:p w:rsidR="00F4646A" w:rsidRPr="00895E34" w:rsidRDefault="00F4646A" w:rsidP="00F4646A">
      <w:pPr>
        <w:pStyle w:val="Luettelokappale"/>
        <w:numPr>
          <w:ilvl w:val="0"/>
          <w:numId w:val="23"/>
        </w:numPr>
        <w:rPr>
          <w:b/>
        </w:rPr>
      </w:pPr>
      <w:r>
        <w:rPr>
          <w:b/>
        </w:rPr>
        <w:t>Koulutuksen alasajo Itä-Suomessa ei saa jatkua</w:t>
      </w:r>
      <w:r w:rsidR="00D9234C">
        <w:rPr>
          <w:b/>
        </w:rPr>
        <w:t>.</w:t>
      </w:r>
      <w:r w:rsidR="00D9234C" w:rsidRPr="00D9234C">
        <w:rPr>
          <w:b/>
          <w:color w:val="FF0000"/>
        </w:rPr>
        <w:t xml:space="preserve"> </w:t>
      </w:r>
      <w:r w:rsidR="00D9234C" w:rsidRPr="00895E34">
        <w:rPr>
          <w:b/>
        </w:rPr>
        <w:t>Koulutuksen aloittamispaikkoja on oltava riittävästi maakuntien työmarkkinatarpeisiin ja valtakunnallisten koulutuksen erikoistumistehtävien hoitamiseen nähden.</w:t>
      </w:r>
    </w:p>
    <w:p w:rsidR="00F4646A" w:rsidRDefault="00FA5451" w:rsidP="00FA5451">
      <w:pPr>
        <w:pStyle w:val="Luettelokappale"/>
        <w:numPr>
          <w:ilvl w:val="0"/>
          <w:numId w:val="23"/>
        </w:numPr>
        <w:rPr>
          <w:b/>
        </w:rPr>
      </w:pPr>
      <w:r w:rsidRPr="00895E34">
        <w:rPr>
          <w:b/>
        </w:rPr>
        <w:t>Maakuntien omista lähtökohdista toteuttavalla työvoimatarpeen ennakoinnilla turvataan riittävän monipuolinen koulutustarjonta</w:t>
      </w:r>
    </w:p>
    <w:p w:rsidR="00895E34" w:rsidRPr="00895E34" w:rsidRDefault="00895E34" w:rsidP="00FA5451">
      <w:pPr>
        <w:pStyle w:val="Luettelokappale"/>
        <w:numPr>
          <w:ilvl w:val="0"/>
          <w:numId w:val="23"/>
        </w:numPr>
        <w:rPr>
          <w:b/>
        </w:rPr>
      </w:pPr>
      <w:r>
        <w:rPr>
          <w:b/>
        </w:rPr>
        <w:t>Yliopistouudistuksen yhteydessä sovituista periaatteista on pidettävä kiinni</w:t>
      </w:r>
    </w:p>
    <w:p w:rsidR="00795142" w:rsidRPr="00895E34" w:rsidRDefault="00895E34" w:rsidP="000F38DD">
      <w:pPr>
        <w:pStyle w:val="Luettelokappale"/>
        <w:numPr>
          <w:ilvl w:val="0"/>
          <w:numId w:val="23"/>
        </w:numPr>
        <w:rPr>
          <w:b/>
        </w:rPr>
      </w:pPr>
      <w:r w:rsidRPr="00895E34">
        <w:rPr>
          <w:b/>
        </w:rPr>
        <w:t xml:space="preserve">Koulutusviennin edellytyksien parantamiseksi on mahdollistettava lukukausimaksujen kerääminen </w:t>
      </w:r>
      <w:r w:rsidR="00FA5451" w:rsidRPr="00895E34">
        <w:rPr>
          <w:b/>
        </w:rPr>
        <w:t>EU- ja ETA-aluee</w:t>
      </w:r>
      <w:r w:rsidR="00795142" w:rsidRPr="00895E34">
        <w:rPr>
          <w:b/>
        </w:rPr>
        <w:t>n ulkopuolisilta opiskelijoilta</w:t>
      </w:r>
    </w:p>
    <w:p w:rsidR="00F4646A" w:rsidRPr="00F4646A" w:rsidRDefault="00F4646A" w:rsidP="000875CA">
      <w:pPr>
        <w:pStyle w:val="Luettelokappale"/>
        <w:rPr>
          <w:b/>
        </w:rPr>
      </w:pPr>
    </w:p>
    <w:p w:rsidR="006D491E" w:rsidRDefault="0068224A" w:rsidP="00E11F93">
      <w:pPr>
        <w:pStyle w:val="Otsikko1"/>
      </w:pPr>
      <w:r>
        <w:t>K</w:t>
      </w:r>
      <w:r w:rsidR="00F4646A">
        <w:t xml:space="preserve">ansainvälisyys </w:t>
      </w:r>
    </w:p>
    <w:p w:rsidR="00E11F93" w:rsidRDefault="00E11F93"/>
    <w:p w:rsidR="00E11F93" w:rsidRDefault="000875CA" w:rsidP="00E11F93">
      <w:r>
        <w:t xml:space="preserve">Kansainvälistyminen on avain talouden kasvulle ja kehitykselle myös Itä-Suomessa </w:t>
      </w:r>
      <w:r w:rsidR="006D491E" w:rsidRPr="00E11F93">
        <w:t>Yritysten viennin ja kansainvälistymisen edistämisessä hyödynnetään</w:t>
      </w:r>
      <w:r w:rsidR="00E11F93">
        <w:t xml:space="preserve"> muun muassa</w:t>
      </w:r>
      <w:r w:rsidR="006D491E" w:rsidRPr="00E11F93">
        <w:t xml:space="preserve"> Team Finland – verkostoa.</w:t>
      </w:r>
      <w:r w:rsidR="001E58CE" w:rsidRPr="00E11F93">
        <w:t xml:space="preserve"> Toiminnan alueelliset resurssit on varmistettava, jolloin alueen yritysten ja yhteisöjen yhteistyöstä syntyvä toiminta tuottaa paikallista vaikuttavuutta. Samalla varmistetaan paremmin </w:t>
      </w:r>
      <w:r w:rsidR="00526137" w:rsidRPr="00E11F93">
        <w:t>Pk-yritysten</w:t>
      </w:r>
      <w:r w:rsidR="001E58CE" w:rsidRPr="00E11F93">
        <w:t xml:space="preserve"> mahdollisuutta hyötyä kansainvälistymiseen pyrkivän toiminnan mahdollisuuksista.</w:t>
      </w:r>
      <w:r w:rsidR="006D491E" w:rsidRPr="00E11F93">
        <w:t xml:space="preserve"> </w:t>
      </w:r>
    </w:p>
    <w:p w:rsidR="006D491E" w:rsidRPr="00E11F93" w:rsidRDefault="00E11F93">
      <w:r>
        <w:lastRenderedPageBreak/>
        <w:t>Kansainvälistymisen edistämiseksi on kehitettävä</w:t>
      </w:r>
      <w:r w:rsidR="006D491E" w:rsidRPr="00E11F93">
        <w:t xml:space="preserve"> uusi </w:t>
      </w:r>
      <w:r>
        <w:t xml:space="preserve">joustava </w:t>
      </w:r>
      <w:r w:rsidR="006D491E" w:rsidRPr="00E11F93">
        <w:t xml:space="preserve">rahoituskanava erityisesti pk-yritysten </w:t>
      </w:r>
      <w:r>
        <w:t xml:space="preserve">kansainvälistymisen tukemiseen. </w:t>
      </w:r>
      <w:r w:rsidRPr="00E11F93">
        <w:t>Kehysbudjettiin vuosille 2015 – 2018 esitetään uutta pysyvää määrärahaa, jolla tuetaan pk-yritysten asiantuntija</w:t>
      </w:r>
      <w:r w:rsidR="000875CA">
        <w:t xml:space="preserve">- ja neuvontapalvelujen ostoa. </w:t>
      </w:r>
      <w:r>
        <w:t>Samalla on tehostettava</w:t>
      </w:r>
      <w:r w:rsidR="006D491E" w:rsidRPr="00E11F93">
        <w:t xml:space="preserve"> liiketoimintaympäristössä tapahtuvien muutosten ja poliittisten riskien ennakointia ja raportointia</w:t>
      </w:r>
      <w:r>
        <w:t xml:space="preserve"> myös PK-sektorin suuntaan</w:t>
      </w:r>
      <w:r w:rsidR="006D491E" w:rsidRPr="00E11F93">
        <w:t xml:space="preserve">. </w:t>
      </w:r>
    </w:p>
    <w:p w:rsidR="006D491E" w:rsidRDefault="006D491E">
      <w:r w:rsidRPr="00E11F93">
        <w:t>Toiminnassa korostetaan cleante</w:t>
      </w:r>
      <w:r w:rsidR="00526137" w:rsidRPr="00E11F93">
        <w:t>ch sektoria, biotalouden</w:t>
      </w:r>
      <w:r w:rsidRPr="00E11F93">
        <w:t xml:space="preserve"> alaa, </w:t>
      </w:r>
      <w:r w:rsidR="00526137" w:rsidRPr="00E11F93">
        <w:t xml:space="preserve">matkailua, </w:t>
      </w:r>
      <w:r w:rsidRPr="00E11F93">
        <w:t xml:space="preserve">ICT-sektoria, arktisen osaamisen hyödyntämistä, hyvinvointialaa, elintarvikealaa sekä Venäjän teollisuuden ja palvelualan modernisoinnin tuomia mahdollisuuksia. </w:t>
      </w:r>
    </w:p>
    <w:p w:rsidR="000875CA" w:rsidRDefault="000875CA" w:rsidP="000875CA">
      <w:pPr>
        <w:rPr>
          <w:b/>
        </w:rPr>
      </w:pPr>
      <w:r w:rsidRPr="003D2D95">
        <w:rPr>
          <w:b/>
        </w:rPr>
        <w:t>Itä-Suomen maakuntien mielestä</w:t>
      </w:r>
      <w:r>
        <w:rPr>
          <w:b/>
        </w:rPr>
        <w:t>:</w:t>
      </w:r>
    </w:p>
    <w:p w:rsidR="000875CA" w:rsidRDefault="000875CA" w:rsidP="000875CA">
      <w:pPr>
        <w:pStyle w:val="Luettelokappale"/>
        <w:numPr>
          <w:ilvl w:val="0"/>
          <w:numId w:val="24"/>
        </w:numPr>
        <w:rPr>
          <w:b/>
        </w:rPr>
      </w:pPr>
      <w:r w:rsidRPr="000875CA">
        <w:rPr>
          <w:b/>
        </w:rPr>
        <w:t>Kansainvälistymiseen tähtäävän toiminnan alueelliset resurssit on varmistettava ja toiminnassa on otettava huomioon Pk-yritysten mahdollisuus hyötyä kansainvälisyyden mahdollisuuksista.</w:t>
      </w:r>
    </w:p>
    <w:p w:rsidR="00CC5E2C" w:rsidRPr="000875CA" w:rsidRDefault="00CC5E2C" w:rsidP="000875CA">
      <w:pPr>
        <w:pStyle w:val="Luettelokappale"/>
        <w:numPr>
          <w:ilvl w:val="0"/>
          <w:numId w:val="24"/>
        </w:numPr>
        <w:rPr>
          <w:b/>
        </w:rPr>
      </w:pPr>
      <w:r>
        <w:rPr>
          <w:b/>
        </w:rPr>
        <w:t>Team Finlandin toiminnalle on oltava sellaiset resurssit, että se voi toteuttaa sille asetetut odotukset.</w:t>
      </w:r>
    </w:p>
    <w:p w:rsidR="000875CA" w:rsidRPr="000875CA" w:rsidRDefault="000875CA" w:rsidP="000875CA">
      <w:pPr>
        <w:pStyle w:val="Luettelokappale"/>
        <w:numPr>
          <w:ilvl w:val="0"/>
          <w:numId w:val="24"/>
        </w:numPr>
        <w:rPr>
          <w:b/>
        </w:rPr>
      </w:pPr>
      <w:r w:rsidRPr="000875CA">
        <w:rPr>
          <w:b/>
        </w:rPr>
        <w:t>Itä- ja Pohjois-Suomeen tuleva, osin muuta maata suurempi EAKR rahoitus ei saa vaikuttaa toimenpiteiden ja rahoituksen määrää alentavasti suhteessa muuhun Suomeen.</w:t>
      </w:r>
    </w:p>
    <w:p w:rsidR="000875CA" w:rsidRDefault="000875CA" w:rsidP="000875CA">
      <w:pPr>
        <w:pStyle w:val="Luettelokappale"/>
        <w:numPr>
          <w:ilvl w:val="0"/>
          <w:numId w:val="24"/>
        </w:numPr>
        <w:rPr>
          <w:b/>
        </w:rPr>
      </w:pPr>
      <w:r w:rsidRPr="000875CA">
        <w:rPr>
          <w:b/>
        </w:rPr>
        <w:t>Invest in Finland toimintaa kehittämällä luodaan mahdollisuuksia ulkomaisten investointien kohdentamisessa Suomeen.</w:t>
      </w:r>
    </w:p>
    <w:p w:rsidR="00CC5E2C" w:rsidRDefault="00CC5E2C" w:rsidP="000875CA">
      <w:pPr>
        <w:pStyle w:val="Luettelokappale"/>
        <w:numPr>
          <w:ilvl w:val="0"/>
          <w:numId w:val="24"/>
        </w:numPr>
        <w:rPr>
          <w:b/>
        </w:rPr>
      </w:pPr>
      <w:r>
        <w:rPr>
          <w:b/>
        </w:rPr>
        <w:t>PK Yritysten pitkäkestoiset kansainvälistymis- ja T&amp;K resurssit mahdollistavat uusien markkinoiden ja tuotteiden menestyksekkään kehittämisen</w:t>
      </w:r>
    </w:p>
    <w:p w:rsidR="000875CA" w:rsidRPr="000875CA" w:rsidRDefault="000875CA" w:rsidP="000875CA">
      <w:pPr>
        <w:pStyle w:val="Luettelokappale"/>
        <w:rPr>
          <w:b/>
        </w:rPr>
      </w:pPr>
    </w:p>
    <w:p w:rsidR="000875CA" w:rsidRDefault="000875CA" w:rsidP="000875CA">
      <w:pPr>
        <w:pStyle w:val="Otsikko1"/>
      </w:pPr>
      <w:r>
        <w:t>Venäjä</w:t>
      </w:r>
    </w:p>
    <w:p w:rsidR="000875CA" w:rsidRPr="00E11F93" w:rsidRDefault="000875CA"/>
    <w:p w:rsidR="000875CA" w:rsidRDefault="00746816" w:rsidP="000875CA">
      <w:r w:rsidRPr="00746816">
        <w:t>Venäjän kasvavat markkinat ja ostovoima</w:t>
      </w:r>
      <w:r w:rsidR="00E11F93">
        <w:t xml:space="preserve"> ovat</w:t>
      </w:r>
      <w:r w:rsidR="000875CA">
        <w:t xml:space="preserve"> tukeneet</w:t>
      </w:r>
      <w:r w:rsidR="0068224A">
        <w:t xml:space="preserve"> osaltaan myös Itä</w:t>
      </w:r>
      <w:r w:rsidR="00E11F93">
        <w:t>-Suomen kasvua viime vuosina. Matkailun ja vapaa-aj</w:t>
      </w:r>
      <w:r w:rsidR="0068224A">
        <w:t>an asumisen merkitys on Itä</w:t>
      </w:r>
      <w:r w:rsidR="000875CA">
        <w:t>-Suomelle erittäin suuri ja</w:t>
      </w:r>
      <w:r w:rsidR="00E11F93">
        <w:t xml:space="preserve"> </w:t>
      </w:r>
      <w:r w:rsidR="00E11F93" w:rsidRPr="007A5EF7">
        <w:t>R</w:t>
      </w:r>
      <w:r w:rsidR="00E11F93" w:rsidRPr="00E11F93">
        <w:t>ajaliikenteen</w:t>
      </w:r>
      <w:r w:rsidR="00E11F93">
        <w:t xml:space="preserve"> sujuvuudella on keskeinen </w:t>
      </w:r>
      <w:r w:rsidR="007A5EF7">
        <w:t>vaikutus</w:t>
      </w:r>
      <w:r w:rsidR="00E11F93">
        <w:t>. Alueella katsotaan pitkällä tähtäimellä Suomen ja Venäjän välisen kaupan ja matkailun olosuhteita. Tähän mennessä tehdyllä päätöksenteolla rajan infrastruktuuri kehitty</w:t>
      </w:r>
      <w:r w:rsidR="007A5EF7">
        <w:t>y hyvin.</w:t>
      </w:r>
      <w:r w:rsidR="00E11F93">
        <w:t xml:space="preserve"> </w:t>
      </w:r>
      <w:r w:rsidR="000875CA">
        <w:t>Itä-Suomen kannalta on keskeistä että tulevaa hallitusohjelmaa valmisteltaessa pyritään katsomaan nykyisen kireän poliittisen tilanteen yli. Pakotteista on maailmantilanteen muuttuessa kyettävä nopeasti siirtymään normaaliin kanssakäymiseen.</w:t>
      </w:r>
    </w:p>
    <w:p w:rsidR="000875CA" w:rsidRPr="000875CA" w:rsidRDefault="000875CA" w:rsidP="000875CA">
      <w:r w:rsidRPr="003D2D95">
        <w:rPr>
          <w:b/>
        </w:rPr>
        <w:t>Itä-Suomen maakuntien mielestä</w:t>
      </w:r>
      <w:r>
        <w:rPr>
          <w:b/>
        </w:rPr>
        <w:t>:</w:t>
      </w:r>
    </w:p>
    <w:p w:rsidR="00321414" w:rsidRPr="00895E34" w:rsidRDefault="001A1EA1" w:rsidP="000875CA">
      <w:pPr>
        <w:pStyle w:val="Luettelokappale"/>
        <w:numPr>
          <w:ilvl w:val="0"/>
          <w:numId w:val="25"/>
        </w:numPr>
        <w:rPr>
          <w:b/>
        </w:rPr>
      </w:pPr>
      <w:r w:rsidRPr="00895E34">
        <w:rPr>
          <w:b/>
        </w:rPr>
        <w:t xml:space="preserve">Turvataan </w:t>
      </w:r>
      <w:r w:rsidR="007C1482">
        <w:rPr>
          <w:b/>
        </w:rPr>
        <w:t xml:space="preserve">ensisijaisesti </w:t>
      </w:r>
      <w:r w:rsidRPr="00895E34">
        <w:rPr>
          <w:b/>
        </w:rPr>
        <w:t>olemassa olevien kansainvälisten rajanylityspaikkojen infrastruktuurin jatkokehittäminen tarpeita vastaavasti.</w:t>
      </w:r>
    </w:p>
    <w:p w:rsidR="000875CA" w:rsidRDefault="005717DA" w:rsidP="000875CA">
      <w:pPr>
        <w:pStyle w:val="Luettelokappale"/>
        <w:numPr>
          <w:ilvl w:val="0"/>
          <w:numId w:val="25"/>
        </w:numPr>
        <w:rPr>
          <w:b/>
        </w:rPr>
      </w:pPr>
      <w:r w:rsidRPr="000875CA">
        <w:rPr>
          <w:b/>
        </w:rPr>
        <w:t xml:space="preserve">Parikkalan rajanylityspaikan kansainvälistäminen </w:t>
      </w:r>
      <w:r w:rsidR="00CC5E2C">
        <w:rPr>
          <w:b/>
        </w:rPr>
        <w:t>toteutetaan</w:t>
      </w:r>
      <w:r w:rsidR="00DA6740">
        <w:rPr>
          <w:b/>
        </w:rPr>
        <w:t xml:space="preserve"> 2018.</w:t>
      </w:r>
    </w:p>
    <w:p w:rsidR="00DA6740" w:rsidRPr="000875CA" w:rsidRDefault="00DA6740" w:rsidP="000875CA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 xml:space="preserve">Niiralan rajanylityspaikalle johtava vt9 </w:t>
      </w:r>
      <w:proofErr w:type="spellStart"/>
      <w:r>
        <w:rPr>
          <w:b/>
        </w:rPr>
        <w:t>Onkamo</w:t>
      </w:r>
      <w:proofErr w:type="spellEnd"/>
      <w:r>
        <w:rPr>
          <w:b/>
        </w:rPr>
        <w:t xml:space="preserve"> – Niirala perusparantaminen käynnistetään.</w:t>
      </w:r>
      <w:bookmarkStart w:id="0" w:name="_GoBack"/>
      <w:bookmarkEnd w:id="0"/>
    </w:p>
    <w:p w:rsidR="00E11F93" w:rsidRPr="000875CA" w:rsidRDefault="000875CA" w:rsidP="000875CA">
      <w:pPr>
        <w:pStyle w:val="Luettelokappale"/>
        <w:numPr>
          <w:ilvl w:val="0"/>
          <w:numId w:val="25"/>
        </w:numPr>
        <w:rPr>
          <w:b/>
        </w:rPr>
      </w:pPr>
      <w:r w:rsidRPr="000875CA">
        <w:rPr>
          <w:b/>
        </w:rPr>
        <w:t xml:space="preserve">Rajavartiolaitoksen ja </w:t>
      </w:r>
      <w:r w:rsidR="005717DA" w:rsidRPr="000875CA">
        <w:rPr>
          <w:b/>
        </w:rPr>
        <w:t xml:space="preserve">Tullin resurssit rajaliikenteessä </w:t>
      </w:r>
      <w:r w:rsidRPr="000875CA">
        <w:rPr>
          <w:b/>
        </w:rPr>
        <w:t>ja sen kehittämisessä on oltava riittävät.</w:t>
      </w:r>
    </w:p>
    <w:p w:rsidR="000875CA" w:rsidRDefault="000875CA" w:rsidP="000875CA">
      <w:pPr>
        <w:pStyle w:val="Luettelokappale"/>
        <w:numPr>
          <w:ilvl w:val="0"/>
          <w:numId w:val="25"/>
        </w:numPr>
        <w:rPr>
          <w:b/>
        </w:rPr>
      </w:pPr>
      <w:r w:rsidRPr="000875CA">
        <w:rPr>
          <w:b/>
        </w:rPr>
        <w:t>Viisumivapauden edistäminen, viisumien joustavuuden lisääminen</w:t>
      </w:r>
      <w:r w:rsidR="009678AD">
        <w:rPr>
          <w:b/>
        </w:rPr>
        <w:t>, viisumin hinnan pienentäminen</w:t>
      </w:r>
      <w:r w:rsidRPr="000875CA">
        <w:rPr>
          <w:b/>
        </w:rPr>
        <w:t xml:space="preserve"> ja rajanylityksen helpottaminen ovat keskeisiä alueen taloutta tukevia toimenpiteitä.</w:t>
      </w:r>
    </w:p>
    <w:p w:rsidR="009678AD" w:rsidRDefault="00895E34" w:rsidP="009678AD">
      <w:pPr>
        <w:pStyle w:val="Luettelokappale"/>
        <w:numPr>
          <w:ilvl w:val="0"/>
          <w:numId w:val="25"/>
        </w:numPr>
        <w:rPr>
          <w:b/>
        </w:rPr>
      </w:pPr>
      <w:r w:rsidRPr="00895E34">
        <w:rPr>
          <w:b/>
        </w:rPr>
        <w:t>Nykyistä laajemmat mahdollisuudet venäjän opiskeluun on mahdollistettava Itä-Suomessa.</w:t>
      </w:r>
    </w:p>
    <w:p w:rsidR="009678AD" w:rsidRPr="009678AD" w:rsidRDefault="009678AD" w:rsidP="009678AD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lastRenderedPageBreak/>
        <w:t>Suomen on pyrittävä kaikin keinoin säilyttämään EU:n ja Venäjän raja-alueohjelmat.</w:t>
      </w:r>
    </w:p>
    <w:p w:rsidR="00B3695B" w:rsidRDefault="00B3695B" w:rsidP="00B3695B"/>
    <w:p w:rsidR="00141CD0" w:rsidRDefault="0068224A" w:rsidP="008B7519">
      <w:pPr>
        <w:pStyle w:val="Otsikko1"/>
      </w:pPr>
      <w:r>
        <w:t>Matkailu keskeinen vientituote</w:t>
      </w:r>
    </w:p>
    <w:p w:rsidR="008B7519" w:rsidRDefault="008B7519"/>
    <w:p w:rsidR="007A5EF7" w:rsidRDefault="009D7990" w:rsidP="007A5EF7">
      <w:r>
        <w:t>Matkailijavirtojen lisääminen S</w:t>
      </w:r>
      <w:r w:rsidR="007A5EF7">
        <w:t xml:space="preserve">uomeen vaatii matkailusektorin </w:t>
      </w:r>
      <w:r>
        <w:t xml:space="preserve">kehittämistyötä suhteessa matkailijavirtoihin </w:t>
      </w:r>
      <w:r w:rsidR="00526137">
        <w:t>ja lähtömaan erityispiirteisiin</w:t>
      </w:r>
      <w:r>
        <w:t xml:space="preserve">, matkailumaakuvan vahvistamista ja markkinoinnin tehostamista. </w:t>
      </w:r>
      <w:r w:rsidR="007A5EF7">
        <w:t>Suomella on tulevaisuudessa oltava kunnollinen kansainvälinen matkailumarkkinointi</w:t>
      </w:r>
      <w:r w:rsidR="00CA6509">
        <w:t xml:space="preserve"> ja brändi</w:t>
      </w:r>
      <w:r w:rsidR="007A5EF7">
        <w:t xml:space="preserve">, jossa päävastuun kantaa </w:t>
      </w:r>
      <w:proofErr w:type="spellStart"/>
      <w:r w:rsidR="007A5EF7">
        <w:t>Finpro</w:t>
      </w:r>
      <w:proofErr w:type="spellEnd"/>
      <w:r w:rsidR="007A5EF7">
        <w:t xml:space="preserve"> ja omalta osaltaan Team Finland al</w:t>
      </w:r>
      <w:r w:rsidR="008B7519">
        <w:t>ueellisten toimijoiden tukemana ja alueelliset lähtökohdat huomioiden.</w:t>
      </w:r>
    </w:p>
    <w:p w:rsidR="000875CA" w:rsidRDefault="000875CA" w:rsidP="000875CA">
      <w:pPr>
        <w:rPr>
          <w:b/>
        </w:rPr>
      </w:pPr>
      <w:r w:rsidRPr="003D2D95">
        <w:rPr>
          <w:b/>
        </w:rPr>
        <w:t>Itä-Suomen maakuntien mielestä</w:t>
      </w:r>
      <w:r>
        <w:rPr>
          <w:b/>
        </w:rPr>
        <w:t>:</w:t>
      </w:r>
    </w:p>
    <w:p w:rsidR="000875CA" w:rsidRPr="00CA6509" w:rsidRDefault="000875CA" w:rsidP="00CA6509">
      <w:pPr>
        <w:pStyle w:val="Luettelokappale"/>
        <w:numPr>
          <w:ilvl w:val="0"/>
          <w:numId w:val="27"/>
        </w:numPr>
        <w:rPr>
          <w:b/>
        </w:rPr>
      </w:pPr>
      <w:r w:rsidRPr="00CA6509">
        <w:rPr>
          <w:b/>
        </w:rPr>
        <w:t xml:space="preserve">Suomen matkailumaakuvaa tulee vahvistaa ja </w:t>
      </w:r>
      <w:r w:rsidR="009678AD">
        <w:rPr>
          <w:b/>
        </w:rPr>
        <w:t xml:space="preserve">erityisesti </w:t>
      </w:r>
      <w:r w:rsidRPr="00CA6509">
        <w:rPr>
          <w:b/>
        </w:rPr>
        <w:t xml:space="preserve">markkinointia Euroopassa ja </w:t>
      </w:r>
      <w:r w:rsidR="009678AD">
        <w:rPr>
          <w:b/>
        </w:rPr>
        <w:t>Aasiassa</w:t>
      </w:r>
      <w:r w:rsidRPr="00CA6509">
        <w:rPr>
          <w:b/>
        </w:rPr>
        <w:t xml:space="preserve"> tulee lisätä</w:t>
      </w:r>
      <w:r w:rsidR="009678AD">
        <w:rPr>
          <w:b/>
        </w:rPr>
        <w:t xml:space="preserve"> korostaen Itä-Suomen erityispiirteitä</w:t>
      </w:r>
    </w:p>
    <w:p w:rsidR="000875CA" w:rsidRPr="00CA6509" w:rsidRDefault="000875CA" w:rsidP="00CA6509">
      <w:pPr>
        <w:pStyle w:val="Luettelokappale"/>
        <w:numPr>
          <w:ilvl w:val="0"/>
          <w:numId w:val="26"/>
        </w:numPr>
        <w:rPr>
          <w:b/>
        </w:rPr>
      </w:pPr>
      <w:r w:rsidRPr="00CA6509">
        <w:rPr>
          <w:b/>
        </w:rPr>
        <w:t>Luontomatkailun edellytyksiä parannetaan paitsi viestintää ja markkinointia kehittämällä, myös varmistamalla luontomatkailukohteiden kuten kansallispuistojen ja infrastruktuurin ja palveluverkoston toimivuus.</w:t>
      </w:r>
    </w:p>
    <w:p w:rsidR="00CA6509" w:rsidRDefault="00CA6509" w:rsidP="00CA6509">
      <w:pPr>
        <w:pStyle w:val="Luettelokappale"/>
        <w:numPr>
          <w:ilvl w:val="0"/>
          <w:numId w:val="26"/>
        </w:numPr>
        <w:rPr>
          <w:b/>
        </w:rPr>
      </w:pPr>
      <w:r w:rsidRPr="00CA6509">
        <w:rPr>
          <w:b/>
        </w:rPr>
        <w:t>Matkailun ja ihmisten liikkuvuuden turvaamiseksi on riittävä lentoliikenteen ja lentoasemien verkosto turvattava koko maassa. Tarvittaessa on käytettävä valtion omistajanohjauksen keinoja.</w:t>
      </w:r>
    </w:p>
    <w:p w:rsidR="009678AD" w:rsidRPr="00CA6509" w:rsidRDefault="009678AD" w:rsidP="00CA6509">
      <w:pPr>
        <w:pStyle w:val="Luettelokappale"/>
        <w:numPr>
          <w:ilvl w:val="0"/>
          <w:numId w:val="26"/>
        </w:numPr>
        <w:rPr>
          <w:b/>
        </w:rPr>
      </w:pPr>
      <w:r>
        <w:rPr>
          <w:b/>
        </w:rPr>
        <w:t>Koulujen loma-aikojen siirtäminen heinä-elokuulle on selvitettävä</w:t>
      </w:r>
    </w:p>
    <w:p w:rsidR="000875CA" w:rsidRPr="000875CA" w:rsidRDefault="000875CA" w:rsidP="000875CA"/>
    <w:p w:rsidR="00B564E3" w:rsidRPr="009D7990" w:rsidRDefault="00B564E3"/>
    <w:sectPr w:rsidR="00B564E3" w:rsidRPr="009D7990" w:rsidSect="00BD0D8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F9" w:rsidRDefault="00363BF9" w:rsidP="003A4EBA">
      <w:pPr>
        <w:spacing w:after="0" w:line="240" w:lineRule="auto"/>
      </w:pPr>
      <w:r>
        <w:separator/>
      </w:r>
    </w:p>
  </w:endnote>
  <w:endnote w:type="continuationSeparator" w:id="0">
    <w:p w:rsidR="00363BF9" w:rsidRDefault="00363BF9" w:rsidP="003A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plitud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F9" w:rsidRDefault="00363BF9" w:rsidP="003A4EBA">
      <w:pPr>
        <w:spacing w:after="0" w:line="240" w:lineRule="auto"/>
      </w:pPr>
      <w:r>
        <w:separator/>
      </w:r>
    </w:p>
  </w:footnote>
  <w:footnote w:type="continuationSeparator" w:id="0">
    <w:p w:rsidR="00363BF9" w:rsidRDefault="00363BF9" w:rsidP="003A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250"/>
      <w:docPartObj>
        <w:docPartGallery w:val="Page Numbers (Top of Page)"/>
        <w:docPartUnique/>
      </w:docPartObj>
    </w:sdtPr>
    <w:sdtEndPr/>
    <w:sdtContent>
      <w:p w:rsidR="003A4EBA" w:rsidRDefault="00BD34E8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7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4EBA" w:rsidRDefault="003A4EB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9D2"/>
    <w:multiLevelType w:val="hybridMultilevel"/>
    <w:tmpl w:val="A16E7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C3F"/>
    <w:multiLevelType w:val="hybridMultilevel"/>
    <w:tmpl w:val="FC9CBB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7C72"/>
    <w:multiLevelType w:val="hybridMultilevel"/>
    <w:tmpl w:val="D05267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4238"/>
    <w:multiLevelType w:val="hybridMultilevel"/>
    <w:tmpl w:val="51604C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EAE"/>
    <w:multiLevelType w:val="hybridMultilevel"/>
    <w:tmpl w:val="4D7E7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4C42"/>
    <w:multiLevelType w:val="hybridMultilevel"/>
    <w:tmpl w:val="63FE8B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C9F"/>
    <w:multiLevelType w:val="hybridMultilevel"/>
    <w:tmpl w:val="6D024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37B4"/>
    <w:multiLevelType w:val="hybridMultilevel"/>
    <w:tmpl w:val="5A609000"/>
    <w:lvl w:ilvl="0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2935152D"/>
    <w:multiLevelType w:val="hybridMultilevel"/>
    <w:tmpl w:val="1C5447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6240"/>
    <w:multiLevelType w:val="hybridMultilevel"/>
    <w:tmpl w:val="E21AAF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E418F"/>
    <w:multiLevelType w:val="hybridMultilevel"/>
    <w:tmpl w:val="925EA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950CF"/>
    <w:multiLevelType w:val="hybridMultilevel"/>
    <w:tmpl w:val="BF8274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D3690"/>
    <w:multiLevelType w:val="hybridMultilevel"/>
    <w:tmpl w:val="EDAA2A3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1A4A80"/>
    <w:multiLevelType w:val="hybridMultilevel"/>
    <w:tmpl w:val="B3901C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1279"/>
    <w:multiLevelType w:val="hybridMultilevel"/>
    <w:tmpl w:val="E34426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10002"/>
    <w:multiLevelType w:val="hybridMultilevel"/>
    <w:tmpl w:val="F92460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1572DD"/>
    <w:multiLevelType w:val="hybridMultilevel"/>
    <w:tmpl w:val="AC664D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448DB"/>
    <w:multiLevelType w:val="hybridMultilevel"/>
    <w:tmpl w:val="88E2E5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D30A1"/>
    <w:multiLevelType w:val="hybridMultilevel"/>
    <w:tmpl w:val="9A6CB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624E4"/>
    <w:multiLevelType w:val="hybridMultilevel"/>
    <w:tmpl w:val="D9F65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1950"/>
    <w:multiLevelType w:val="hybridMultilevel"/>
    <w:tmpl w:val="6D8ADA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03611"/>
    <w:multiLevelType w:val="hybridMultilevel"/>
    <w:tmpl w:val="D638E0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B3221"/>
    <w:multiLevelType w:val="hybridMultilevel"/>
    <w:tmpl w:val="B59C95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B643E"/>
    <w:multiLevelType w:val="hybridMultilevel"/>
    <w:tmpl w:val="F93647A2"/>
    <w:lvl w:ilvl="0" w:tplc="93AEE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65B09"/>
    <w:multiLevelType w:val="hybridMultilevel"/>
    <w:tmpl w:val="91A4EA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6686"/>
    <w:multiLevelType w:val="hybridMultilevel"/>
    <w:tmpl w:val="BEC075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E216D"/>
    <w:multiLevelType w:val="hybridMultilevel"/>
    <w:tmpl w:val="ABAA27C0"/>
    <w:lvl w:ilvl="0" w:tplc="DF44D66C">
      <w:numFmt w:val="bullet"/>
      <w:lvlText w:val="-"/>
      <w:lvlJc w:val="left"/>
      <w:pPr>
        <w:ind w:left="720" w:hanging="360"/>
      </w:pPr>
      <w:rPr>
        <w:rFonts w:ascii="Calibri" w:eastAsiaTheme="minorHAnsi" w:hAnsi="Calibri" w:cs="Amplitude-Regular" w:hint="default"/>
        <w:color w:val="33E6E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15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23"/>
  </w:num>
  <w:num w:numId="20">
    <w:abstractNumId w:val="4"/>
  </w:num>
  <w:num w:numId="21">
    <w:abstractNumId w:val="8"/>
  </w:num>
  <w:num w:numId="22">
    <w:abstractNumId w:val="22"/>
  </w:num>
  <w:num w:numId="23">
    <w:abstractNumId w:val="1"/>
  </w:num>
  <w:num w:numId="24">
    <w:abstractNumId w:val="6"/>
  </w:num>
  <w:num w:numId="25">
    <w:abstractNumId w:val="16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1A"/>
    <w:rsid w:val="00005665"/>
    <w:rsid w:val="000374AF"/>
    <w:rsid w:val="000761CD"/>
    <w:rsid w:val="00081726"/>
    <w:rsid w:val="00083D98"/>
    <w:rsid w:val="000875CA"/>
    <w:rsid w:val="000957C1"/>
    <w:rsid w:val="000A351A"/>
    <w:rsid w:val="000D6D10"/>
    <w:rsid w:val="000F38DD"/>
    <w:rsid w:val="00141CD0"/>
    <w:rsid w:val="001625DC"/>
    <w:rsid w:val="00164842"/>
    <w:rsid w:val="001A1EA1"/>
    <w:rsid w:val="001C07A1"/>
    <w:rsid w:val="001C29C0"/>
    <w:rsid w:val="001E58CE"/>
    <w:rsid w:val="0020072D"/>
    <w:rsid w:val="00226CF6"/>
    <w:rsid w:val="002E2CD9"/>
    <w:rsid w:val="002F35B1"/>
    <w:rsid w:val="00301B38"/>
    <w:rsid w:val="00321414"/>
    <w:rsid w:val="003375F7"/>
    <w:rsid w:val="00343907"/>
    <w:rsid w:val="0034729A"/>
    <w:rsid w:val="0035141D"/>
    <w:rsid w:val="0036064F"/>
    <w:rsid w:val="00363BF9"/>
    <w:rsid w:val="003A4EBA"/>
    <w:rsid w:val="003B2AAF"/>
    <w:rsid w:val="003D25E4"/>
    <w:rsid w:val="003D2D95"/>
    <w:rsid w:val="0040226B"/>
    <w:rsid w:val="00407981"/>
    <w:rsid w:val="004370D8"/>
    <w:rsid w:val="0045054F"/>
    <w:rsid w:val="004D04C0"/>
    <w:rsid w:val="00526137"/>
    <w:rsid w:val="00570580"/>
    <w:rsid w:val="005717DA"/>
    <w:rsid w:val="00587C0F"/>
    <w:rsid w:val="00594550"/>
    <w:rsid w:val="005F3A69"/>
    <w:rsid w:val="005F5BCA"/>
    <w:rsid w:val="006021D1"/>
    <w:rsid w:val="006072CD"/>
    <w:rsid w:val="006249B5"/>
    <w:rsid w:val="006731C3"/>
    <w:rsid w:val="0068224A"/>
    <w:rsid w:val="00691BDD"/>
    <w:rsid w:val="00691F31"/>
    <w:rsid w:val="006D491E"/>
    <w:rsid w:val="006F2B10"/>
    <w:rsid w:val="00707803"/>
    <w:rsid w:val="00734DF3"/>
    <w:rsid w:val="00746816"/>
    <w:rsid w:val="00751859"/>
    <w:rsid w:val="00795142"/>
    <w:rsid w:val="007A0EFE"/>
    <w:rsid w:val="007A5EF7"/>
    <w:rsid w:val="007B6730"/>
    <w:rsid w:val="007C1482"/>
    <w:rsid w:val="007C7383"/>
    <w:rsid w:val="007D17A3"/>
    <w:rsid w:val="007E551D"/>
    <w:rsid w:val="00832A89"/>
    <w:rsid w:val="00856979"/>
    <w:rsid w:val="00895E34"/>
    <w:rsid w:val="008A2E50"/>
    <w:rsid w:val="008B000F"/>
    <w:rsid w:val="008B2263"/>
    <w:rsid w:val="008B3BC3"/>
    <w:rsid w:val="008B7519"/>
    <w:rsid w:val="008C2B26"/>
    <w:rsid w:val="008C476B"/>
    <w:rsid w:val="008D154D"/>
    <w:rsid w:val="008D5B76"/>
    <w:rsid w:val="00906C87"/>
    <w:rsid w:val="00941E28"/>
    <w:rsid w:val="009605F8"/>
    <w:rsid w:val="009678AD"/>
    <w:rsid w:val="00974A48"/>
    <w:rsid w:val="009B3F06"/>
    <w:rsid w:val="009D7990"/>
    <w:rsid w:val="00A601B5"/>
    <w:rsid w:val="00A7423C"/>
    <w:rsid w:val="00AA549D"/>
    <w:rsid w:val="00B3695B"/>
    <w:rsid w:val="00B5475E"/>
    <w:rsid w:val="00B564E3"/>
    <w:rsid w:val="00B64687"/>
    <w:rsid w:val="00BA3072"/>
    <w:rsid w:val="00BD0D8A"/>
    <w:rsid w:val="00BD34E8"/>
    <w:rsid w:val="00C074E1"/>
    <w:rsid w:val="00C557D4"/>
    <w:rsid w:val="00C815DD"/>
    <w:rsid w:val="00C84228"/>
    <w:rsid w:val="00C92984"/>
    <w:rsid w:val="00CA6509"/>
    <w:rsid w:val="00CB5ED8"/>
    <w:rsid w:val="00CC5E2C"/>
    <w:rsid w:val="00CC6F1E"/>
    <w:rsid w:val="00CD70FB"/>
    <w:rsid w:val="00CE2321"/>
    <w:rsid w:val="00CE260B"/>
    <w:rsid w:val="00CF7C4F"/>
    <w:rsid w:val="00D25636"/>
    <w:rsid w:val="00D25CE8"/>
    <w:rsid w:val="00D27671"/>
    <w:rsid w:val="00D9234C"/>
    <w:rsid w:val="00DA6740"/>
    <w:rsid w:val="00E06CAD"/>
    <w:rsid w:val="00E11F93"/>
    <w:rsid w:val="00E17F09"/>
    <w:rsid w:val="00E619AB"/>
    <w:rsid w:val="00E66B9F"/>
    <w:rsid w:val="00E757BD"/>
    <w:rsid w:val="00E83171"/>
    <w:rsid w:val="00E9082C"/>
    <w:rsid w:val="00ED0B37"/>
    <w:rsid w:val="00F03FD1"/>
    <w:rsid w:val="00F41A7A"/>
    <w:rsid w:val="00F4646A"/>
    <w:rsid w:val="00FA5451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0D8A"/>
  </w:style>
  <w:style w:type="paragraph" w:styleId="Otsikko1">
    <w:name w:val="heading 1"/>
    <w:basedOn w:val="Normaali"/>
    <w:next w:val="Normaali"/>
    <w:link w:val="Otsikko1Char"/>
    <w:uiPriority w:val="9"/>
    <w:qFormat/>
    <w:rsid w:val="00B64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F41A7A"/>
    <w:rPr>
      <w:b/>
      <w:bCs/>
    </w:rPr>
  </w:style>
  <w:style w:type="paragraph" w:styleId="Luettelokappale">
    <w:name w:val="List Paragraph"/>
    <w:basedOn w:val="Normaali"/>
    <w:uiPriority w:val="34"/>
    <w:qFormat/>
    <w:rsid w:val="00A7423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A4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4EBA"/>
  </w:style>
  <w:style w:type="paragraph" w:styleId="Alatunniste">
    <w:name w:val="footer"/>
    <w:basedOn w:val="Normaali"/>
    <w:link w:val="AlatunnisteChar"/>
    <w:uiPriority w:val="99"/>
    <w:semiHidden/>
    <w:unhideWhenUsed/>
    <w:rsid w:val="003A4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A4EBA"/>
  </w:style>
  <w:style w:type="paragraph" w:styleId="Eivli">
    <w:name w:val="No Spacing"/>
    <w:uiPriority w:val="1"/>
    <w:qFormat/>
    <w:rsid w:val="007A0EFE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B64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7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0D8A"/>
  </w:style>
  <w:style w:type="paragraph" w:styleId="Otsikko1">
    <w:name w:val="heading 1"/>
    <w:basedOn w:val="Normaali"/>
    <w:next w:val="Normaali"/>
    <w:link w:val="Otsikko1Char"/>
    <w:uiPriority w:val="9"/>
    <w:qFormat/>
    <w:rsid w:val="00B64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F41A7A"/>
    <w:rPr>
      <w:b/>
      <w:bCs/>
    </w:rPr>
  </w:style>
  <w:style w:type="paragraph" w:styleId="Luettelokappale">
    <w:name w:val="List Paragraph"/>
    <w:basedOn w:val="Normaali"/>
    <w:uiPriority w:val="34"/>
    <w:qFormat/>
    <w:rsid w:val="00A7423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A4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4EBA"/>
  </w:style>
  <w:style w:type="paragraph" w:styleId="Alatunniste">
    <w:name w:val="footer"/>
    <w:basedOn w:val="Normaali"/>
    <w:link w:val="AlatunnisteChar"/>
    <w:uiPriority w:val="99"/>
    <w:semiHidden/>
    <w:unhideWhenUsed/>
    <w:rsid w:val="003A4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A4EBA"/>
  </w:style>
  <w:style w:type="paragraph" w:styleId="Eivli">
    <w:name w:val="No Spacing"/>
    <w:uiPriority w:val="1"/>
    <w:qFormat/>
    <w:rsid w:val="007A0EFE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B64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7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1D0A-4D35-4BF1-9F82-D872DFCB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9984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Silmäri</dc:creator>
  <cp:lastModifiedBy>Turkulainen Harri</cp:lastModifiedBy>
  <cp:revision>3</cp:revision>
  <cp:lastPrinted>2015-01-05T06:26:00Z</cp:lastPrinted>
  <dcterms:created xsi:type="dcterms:W3CDTF">2015-01-20T06:49:00Z</dcterms:created>
  <dcterms:modified xsi:type="dcterms:W3CDTF">2015-01-20T10:58:00Z</dcterms:modified>
</cp:coreProperties>
</file>