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EB" w:rsidRPr="004C36EB" w:rsidRDefault="004C36EB" w:rsidP="004C36EB">
      <w:pPr>
        <w:spacing w:after="150" w:line="240" w:lineRule="auto"/>
        <w:rPr>
          <w:rFonts w:ascii="Arial" w:eastAsia="Times New Roman" w:hAnsi="Arial" w:cs="Arial"/>
          <w:bCs/>
          <w:color w:val="222222"/>
          <w:szCs w:val="17"/>
          <w:lang w:eastAsia="fi-FI"/>
        </w:rPr>
      </w:pPr>
      <w:bookmarkStart w:id="0" w:name="_GoBack"/>
      <w:bookmarkEnd w:id="0"/>
      <w:r w:rsidRPr="004C36EB">
        <w:rPr>
          <w:rFonts w:ascii="Arial" w:eastAsia="Times New Roman" w:hAnsi="Arial" w:cs="Arial"/>
          <w:color w:val="222222"/>
          <w:szCs w:val="27"/>
          <w:lang w:eastAsia="fi-FI"/>
        </w:rPr>
        <w:t>Tiedotteet: Alueiden kehittäminen</w:t>
      </w:r>
      <w:r>
        <w:rPr>
          <w:rFonts w:ascii="Arial" w:eastAsia="Times New Roman" w:hAnsi="Arial" w:cs="Arial"/>
          <w:color w:val="222222"/>
          <w:szCs w:val="27"/>
          <w:lang w:eastAsia="fi-FI"/>
        </w:rPr>
        <w:tab/>
      </w:r>
      <w:r>
        <w:rPr>
          <w:rFonts w:ascii="Arial" w:eastAsia="Times New Roman" w:hAnsi="Arial" w:cs="Arial"/>
          <w:color w:val="222222"/>
          <w:szCs w:val="27"/>
          <w:lang w:eastAsia="fi-FI"/>
        </w:rPr>
        <w:tab/>
      </w:r>
      <w:r>
        <w:rPr>
          <w:rFonts w:ascii="Arial" w:eastAsia="Times New Roman" w:hAnsi="Arial" w:cs="Arial"/>
          <w:color w:val="222222"/>
          <w:szCs w:val="27"/>
          <w:lang w:eastAsia="fi-FI"/>
        </w:rPr>
        <w:tab/>
      </w:r>
      <w:r>
        <w:rPr>
          <w:rFonts w:ascii="Arial" w:eastAsia="Times New Roman" w:hAnsi="Arial" w:cs="Arial"/>
          <w:color w:val="222222"/>
          <w:szCs w:val="27"/>
          <w:lang w:eastAsia="fi-FI"/>
        </w:rPr>
        <w:tab/>
      </w:r>
      <w:r w:rsidRPr="004C36EB">
        <w:rPr>
          <w:rFonts w:ascii="Arial" w:eastAsia="Times New Roman" w:hAnsi="Arial" w:cs="Arial"/>
          <w:bCs/>
          <w:color w:val="222222"/>
          <w:szCs w:val="17"/>
          <w:lang w:eastAsia="fi-FI"/>
        </w:rPr>
        <w:t>28.5.2013 12.56</w:t>
      </w:r>
    </w:p>
    <w:p w:rsidR="004C36EB" w:rsidRPr="004C36EB" w:rsidRDefault="004C36EB" w:rsidP="004C36EB">
      <w:pPr>
        <w:spacing w:after="30" w:line="240" w:lineRule="atLeast"/>
        <w:rPr>
          <w:rFonts w:ascii="Arial" w:eastAsia="Times New Roman" w:hAnsi="Arial" w:cs="Arial"/>
          <w:b/>
          <w:bCs/>
          <w:color w:val="222222"/>
          <w:sz w:val="16"/>
          <w:szCs w:val="17"/>
          <w:lang w:eastAsia="fi-FI"/>
        </w:rPr>
      </w:pPr>
    </w:p>
    <w:p w:rsidR="004C36EB" w:rsidRPr="004C36EB" w:rsidRDefault="004C36EB" w:rsidP="004C36EB">
      <w:pPr>
        <w:spacing w:after="150" w:line="240" w:lineRule="auto"/>
        <w:outlineLvl w:val="1"/>
        <w:rPr>
          <w:rFonts w:ascii="Arial" w:eastAsia="Times New Roman" w:hAnsi="Arial" w:cs="Arial"/>
          <w:b/>
          <w:color w:val="222222"/>
          <w:kern w:val="36"/>
          <w:sz w:val="24"/>
          <w:szCs w:val="27"/>
          <w:lang w:eastAsia="fi-FI"/>
        </w:rPr>
      </w:pPr>
      <w:r w:rsidRPr="004C36EB">
        <w:rPr>
          <w:rFonts w:ascii="Arial" w:eastAsia="Times New Roman" w:hAnsi="Arial" w:cs="Arial"/>
          <w:b/>
          <w:color w:val="222222"/>
          <w:kern w:val="36"/>
          <w:sz w:val="24"/>
          <w:szCs w:val="27"/>
          <w:lang w:eastAsia="fi-FI"/>
        </w:rPr>
        <w:t>Talouspoliittinen ministerivaliokunta teki linjaukset tulevalle rakennerahastokaudelle</w:t>
      </w:r>
    </w:p>
    <w:p w:rsidR="004C36EB" w:rsidRPr="004C36EB" w:rsidRDefault="004C36EB" w:rsidP="004C36EB">
      <w:pPr>
        <w:spacing w:after="150" w:line="240" w:lineRule="auto"/>
        <w:outlineLvl w:val="1"/>
        <w:rPr>
          <w:rFonts w:ascii="Arial" w:eastAsia="Times New Roman" w:hAnsi="Arial" w:cs="Arial"/>
          <w:color w:val="222222"/>
          <w:kern w:val="36"/>
          <w:sz w:val="27"/>
          <w:szCs w:val="27"/>
          <w:lang w:eastAsia="fi-FI"/>
        </w:rPr>
      </w:pP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Talouspoliittinen ministerivaliokunta linjasi 28.5.2013 EU-rakennerahastokauden 2014 - 2020 toteuttamista Suomessa. Manner-Suomen rakennerahasto-ohjelman rahoitus tulevalla ohjelmakaudella on noin 1,2 miljardia. </w:t>
      </w:r>
    </w:p>
    <w:p w:rsidR="004C36EB" w:rsidRPr="004C36EB" w:rsidRDefault="004C36EB" w:rsidP="004C36EB">
      <w:pPr>
        <w:spacing w:after="0" w:line="240" w:lineRule="atLeast"/>
        <w:rPr>
          <w:rFonts w:ascii="Arial" w:eastAsia="Times New Roman" w:hAnsi="Arial" w:cs="Arial"/>
          <w:color w:val="222222"/>
          <w:szCs w:val="18"/>
          <w:lang w:eastAsia="fi-FI"/>
        </w:rPr>
      </w:pP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Kansallisen vastinrahoituksen kanssa julkista rahoitusta on käytössä yhteensä noin 2,4 miljardia euroa. Nyt päätettiin rahoituksen rahastokohtaisesta jaosta (EAKR/ESR), jaosta suuralueittain, valtakunnallisten teemojen osuudesta sekä ohjelman toimintalinjoista ja niiden rahoitusosuuksista.</w:t>
      </w:r>
      <w:r w:rsidRPr="004C36EB">
        <w:rPr>
          <w:rFonts w:ascii="Arial" w:eastAsia="Times New Roman" w:hAnsi="Arial" w:cs="Arial"/>
          <w:color w:val="222222"/>
          <w:szCs w:val="18"/>
          <w:lang w:eastAsia="fi-FI"/>
        </w:rPr>
        <w:b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Rahoituksen jakautumisesta päätettiin alueiden esityksen pohjalta</w:t>
      </w:r>
      <w:r w:rsidRPr="004C36EB">
        <w:rPr>
          <w:rFonts w:ascii="Arial" w:eastAsia="Times New Roman" w:hAnsi="Arial" w:cs="Arial"/>
          <w:b/>
          <w:bCs/>
          <w:color w:val="222222"/>
          <w:szCs w:val="18"/>
          <w:lang w:eastAsia="fi-FI"/>
        </w:rPr>
        <w:br/>
        <w:t> </w:t>
      </w:r>
    </w:p>
    <w:p w:rsidR="004C36EB" w:rsidRPr="004C36EB" w:rsidRDefault="004C36EB" w:rsidP="004C36EB">
      <w:pPr>
        <w:spacing w:after="0" w:line="240" w:lineRule="atLeast"/>
        <w:rPr>
          <w:rFonts w:ascii="Arial" w:eastAsia="Times New Roman" w:hAnsi="Arial" w:cs="Arial"/>
          <w:color w:val="222222"/>
          <w:szCs w:val="18"/>
          <w:lang w:eastAsia="fi-FI"/>
        </w:rPr>
      </w:pPr>
      <w:proofErr w:type="gramStart"/>
      <w:r w:rsidRPr="004C36EB">
        <w:rPr>
          <w:rFonts w:ascii="Arial" w:eastAsia="Times New Roman" w:hAnsi="Arial" w:cs="Arial"/>
          <w:color w:val="222222"/>
          <w:szCs w:val="18"/>
          <w:lang w:eastAsia="fi-FI"/>
        </w:rPr>
        <w:t>-</w:t>
      </w:r>
      <w:proofErr w:type="gramEnd"/>
      <w:r w:rsidRPr="004C36EB">
        <w:rPr>
          <w:rFonts w:ascii="Arial" w:eastAsia="Times New Roman" w:hAnsi="Arial" w:cs="Arial"/>
          <w:color w:val="222222"/>
          <w:szCs w:val="18"/>
          <w:lang w:eastAsia="fi-FI"/>
        </w:rPr>
        <w:t xml:space="preserve"> Varojen alueellinen jakautuminen on mietitty erityisen tarkkaan, koska tulevalla kaudella rahaa on käytettävissä päättyvää kautta vähemmän. Maakuntien ja </w:t>
      </w:r>
      <w:proofErr w:type="spellStart"/>
      <w:r w:rsidRPr="004C36EB">
        <w:rPr>
          <w:rFonts w:ascii="Arial" w:eastAsia="Times New Roman" w:hAnsi="Arial" w:cs="Arial"/>
          <w:color w:val="222222"/>
          <w:szCs w:val="18"/>
          <w:lang w:eastAsia="fi-FI"/>
        </w:rPr>
        <w:t>ELY-keskusten</w:t>
      </w:r>
      <w:proofErr w:type="spellEnd"/>
      <w:r w:rsidRPr="004C36EB">
        <w:rPr>
          <w:rFonts w:ascii="Arial" w:eastAsia="Times New Roman" w:hAnsi="Arial" w:cs="Arial"/>
          <w:color w:val="222222"/>
          <w:szCs w:val="18"/>
          <w:lang w:eastAsia="fi-FI"/>
        </w:rPr>
        <w:t xml:space="preserve"> työ- ja elinkeinoministeriölle toimittama yhteinen näkemys antoi päätöksenteolle hyvän pohjan, jota hallitus kunnioitti, toteaa elinkeinoministeri </w:t>
      </w:r>
      <w:r w:rsidRPr="004C36EB">
        <w:rPr>
          <w:rFonts w:ascii="Arial" w:eastAsia="Times New Roman" w:hAnsi="Arial" w:cs="Arial"/>
          <w:b/>
          <w:bCs/>
          <w:color w:val="222222"/>
          <w:szCs w:val="18"/>
          <w:lang w:eastAsia="fi-FI"/>
        </w:rPr>
        <w:t>Jan Vapaavuori</w:t>
      </w:r>
      <w:r w:rsidRPr="004C36EB">
        <w:rPr>
          <w:rFonts w:ascii="Arial" w:eastAsia="Times New Roman" w:hAnsi="Arial" w:cs="Arial"/>
          <w:color w:val="222222"/>
          <w:szCs w:val="18"/>
          <w:lang w:eastAsia="fi-FI"/>
        </w:rPr>
        <w:t>.</w:t>
      </w:r>
      <w:r w:rsidRPr="004C36EB">
        <w:rPr>
          <w:rFonts w:ascii="Arial" w:eastAsia="Times New Roman" w:hAnsi="Arial" w:cs="Arial"/>
          <w:color w:val="222222"/>
          <w:szCs w:val="18"/>
          <w:lang w:eastAsia="fi-FI"/>
        </w:rPr>
        <w:b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Tulevalla kaudella Itä- ja Pohjois-Suomi saa alueellisesta rahoituksesta noin 71 prosenttia ja Etelä- ja Länsi-Suomi noin 29 prosenttia. Ahvenanmaan osuus on noin 0,5 prosenttia. Tällöin Itä- ja Pohjois-Suomen EU-osuus noin 722 miljoonaa euroa, Etelä- ja Länsi-Suomen noin 286 miljoonaa euroa ja Ahvenanmaan noin 5 miljoonaa.</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 xml:space="preserve">EAKR- ja ESR-perusrahoitus puoliksi, Itä- ja Pohjois-Suomelle harvan asutuksen erityisrahoitusta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EU:n rakennerahastoja ovat Euroopan aluekehitysrahasto (EAKR) ja Euroopan sosiaalirahasto (ESR). Rakennerahastojen perusrahoitus jaetaan tasan (50/50) EAKR- ja ESR-rahastojen kesken. Itä- ja Pohjois-Suomen harvan asutuksen erityisrahoitus on kokonaisuudessaan EAKR-rahoitusta, joten yhteensä EAKR-rahoitus on noin 60 prosenttia ja ESR noin 40 prosenttia rahoituksesta. Käytännössä tämä vastaa tilannetta nykyisellä 2007 - 2013 kaudella.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proofErr w:type="gramStart"/>
      <w:r w:rsidRPr="004C36EB">
        <w:rPr>
          <w:rFonts w:ascii="Arial" w:eastAsia="Times New Roman" w:hAnsi="Arial" w:cs="Arial"/>
          <w:color w:val="222222"/>
          <w:szCs w:val="18"/>
          <w:lang w:eastAsia="fi-FI"/>
        </w:rPr>
        <w:t>-</w:t>
      </w:r>
      <w:proofErr w:type="gramEnd"/>
      <w:r w:rsidRPr="004C36EB">
        <w:rPr>
          <w:rFonts w:ascii="Arial" w:eastAsia="Times New Roman" w:hAnsi="Arial" w:cs="Arial"/>
          <w:color w:val="222222"/>
          <w:szCs w:val="18"/>
          <w:lang w:eastAsia="fi-FI"/>
        </w:rPr>
        <w:t xml:space="preserve"> Euroopan sosiaalirahaston varoilla tuemme työllisyyttä ja osaamista palveluita kehittämällä. Rahoituksen avulla tuemme muun muassa nuorisotakuun toteutumista, pitkäaikaistyöttömyyden vähentämistä, maahanmuuttajien kotoutumista ja ehkäisemme syrjäytymistä, painottaa työministeri </w:t>
      </w:r>
      <w:r w:rsidRPr="004C36EB">
        <w:rPr>
          <w:rFonts w:ascii="Arial" w:eastAsia="Times New Roman" w:hAnsi="Arial" w:cs="Arial"/>
          <w:b/>
          <w:bCs/>
          <w:color w:val="222222"/>
          <w:szCs w:val="18"/>
          <w:lang w:eastAsia="fi-FI"/>
        </w:rPr>
        <w:t>Lauri Ihalainen</w:t>
      </w:r>
      <w:r w:rsidRPr="004C36EB">
        <w:rPr>
          <w:rFonts w:ascii="Arial" w:eastAsia="Times New Roman" w:hAnsi="Arial" w:cs="Arial"/>
          <w:color w:val="222222"/>
          <w:szCs w:val="18"/>
          <w:lang w:eastAsia="fi-FI"/>
        </w:rPr>
        <w:t xml:space="preserve">. </w:t>
      </w:r>
    </w:p>
    <w:p w:rsidR="004C36EB" w:rsidRPr="004C36EB" w:rsidRDefault="004C36EB" w:rsidP="004C36EB">
      <w:pPr>
        <w:spacing w:after="0" w:line="240" w:lineRule="atLeast"/>
        <w:rPr>
          <w:rFonts w:ascii="Arial" w:eastAsia="Times New Roman" w:hAnsi="Arial" w:cs="Arial"/>
          <w:color w:val="222222"/>
          <w:szCs w:val="18"/>
          <w:lang w:eastAsia="fi-FI"/>
        </w:rPr>
      </w:pP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Ministeri Vapaavuoren mukaan aluekehitysrahaston avulla panostetaan erityisesti uuteen yrittäjyyteen, sitä kautta työllisyyteen, alueiden kilpailukyvyn kasvuun sekä elinvoimaisuuteen. Molemmilla rahastoilla on selkeä tehtävä suomalaisen hyvinvoinnin ja kilpailukyvyn vahvistamisessa.</w:t>
      </w:r>
    </w:p>
    <w:p w:rsidR="004C36EB" w:rsidRPr="004C36EB" w:rsidRDefault="004C36EB" w:rsidP="004C36EB">
      <w:pPr>
        <w:spacing w:after="0" w:line="240" w:lineRule="atLeast"/>
        <w:rPr>
          <w:rFonts w:ascii="Arial" w:eastAsia="Times New Roman" w:hAnsi="Arial" w:cs="Arial"/>
          <w:color w:val="222222"/>
          <w:szCs w:val="18"/>
          <w:lang w:eastAsia="fi-FI"/>
        </w:rPr>
      </w:pPr>
      <w:proofErr w:type="gramStart"/>
      <w:r w:rsidRPr="004C36EB">
        <w:rPr>
          <w:rFonts w:ascii="Arial" w:eastAsia="Times New Roman" w:hAnsi="Arial" w:cs="Arial"/>
          <w:color w:val="222222"/>
          <w:szCs w:val="18"/>
          <w:lang w:eastAsia="fi-FI"/>
        </w:rPr>
        <w:t>-</w:t>
      </w:r>
      <w:proofErr w:type="gramEnd"/>
      <w:r w:rsidRPr="004C36EB">
        <w:rPr>
          <w:rFonts w:ascii="Arial" w:eastAsia="Times New Roman" w:hAnsi="Arial" w:cs="Arial"/>
          <w:color w:val="222222"/>
          <w:szCs w:val="18"/>
          <w:lang w:eastAsia="fi-FI"/>
        </w:rPr>
        <w:t xml:space="preserve"> Rahoitamme erityisesti pk-yritysten kilpailukykyyn ja innovaatioihin liittyviä hankkeita. Lisäksi voimme näillä varoilla tukea työllisyyttä alueilla, jossa työllistyminen on erityisen vaikeaa, Vapaavuori korostaa.</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br/>
        <w:t>Manner-Suomen rakennerahasto-ohjelmassa on viisi toimintalinjaa</w:t>
      </w:r>
      <w:r w:rsidRPr="004C36EB">
        <w:rPr>
          <w:rFonts w:ascii="Arial" w:eastAsia="Times New Roman" w:hAnsi="Arial" w:cs="Arial"/>
          <w:b/>
          <w:bCs/>
          <w:color w:val="222222"/>
          <w:szCs w:val="18"/>
          <w:lang w:eastAsia="fi-FI"/>
        </w:rPr>
        <w:b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Toimintalinjoiksi päätettiin pk-yritystoiminnan kilpailukyvyn edistäminen (40 prosenttia </w:t>
      </w:r>
      <w:proofErr w:type="spellStart"/>
      <w:r w:rsidRPr="004C36EB">
        <w:rPr>
          <w:rFonts w:ascii="Arial" w:eastAsia="Times New Roman" w:hAnsi="Arial" w:cs="Arial"/>
          <w:color w:val="222222"/>
          <w:szCs w:val="18"/>
          <w:lang w:eastAsia="fi-FI"/>
        </w:rPr>
        <w:t>EAKR:sta</w:t>
      </w:r>
      <w:proofErr w:type="spellEnd"/>
      <w:r w:rsidRPr="004C36EB">
        <w:rPr>
          <w:rFonts w:ascii="Arial" w:eastAsia="Times New Roman" w:hAnsi="Arial" w:cs="Arial"/>
          <w:color w:val="222222"/>
          <w:szCs w:val="18"/>
          <w:lang w:eastAsia="fi-FI"/>
        </w:rPr>
        <w:t xml:space="preserve">), uusimman tiedon ja osaamisen tuottaminen ja hyödyntäminen (53 prosenttia </w:t>
      </w:r>
      <w:proofErr w:type="spellStart"/>
      <w:r w:rsidRPr="004C36EB">
        <w:rPr>
          <w:rFonts w:ascii="Arial" w:eastAsia="Times New Roman" w:hAnsi="Arial" w:cs="Arial"/>
          <w:color w:val="222222"/>
          <w:szCs w:val="18"/>
          <w:lang w:eastAsia="fi-FI"/>
        </w:rPr>
        <w:t>EAKR:sta</w:t>
      </w:r>
      <w:proofErr w:type="spellEnd"/>
      <w:r w:rsidRPr="004C36EB">
        <w:rPr>
          <w:rFonts w:ascii="Arial" w:eastAsia="Times New Roman" w:hAnsi="Arial" w:cs="Arial"/>
          <w:color w:val="222222"/>
          <w:szCs w:val="18"/>
          <w:lang w:eastAsia="fi-FI"/>
        </w:rPr>
        <w:t xml:space="preserve">), työllisyys ja työvoiman liikkuvuus (47 prosenttia </w:t>
      </w:r>
      <w:proofErr w:type="spellStart"/>
      <w:r w:rsidRPr="004C36EB">
        <w:rPr>
          <w:rFonts w:ascii="Arial" w:eastAsia="Times New Roman" w:hAnsi="Arial" w:cs="Arial"/>
          <w:color w:val="222222"/>
          <w:szCs w:val="18"/>
          <w:lang w:eastAsia="fi-FI"/>
        </w:rPr>
        <w:t>ESR:sta</w:t>
      </w:r>
      <w:proofErr w:type="spellEnd"/>
      <w:r w:rsidRPr="004C36EB">
        <w:rPr>
          <w:rFonts w:ascii="Arial" w:eastAsia="Times New Roman" w:hAnsi="Arial" w:cs="Arial"/>
          <w:color w:val="222222"/>
          <w:szCs w:val="18"/>
          <w:lang w:eastAsia="fi-FI"/>
        </w:rPr>
        <w:t xml:space="preserve">), koulutus, ammattitaito ja elinikäinen oppiminen </w:t>
      </w:r>
      <w:r w:rsidRPr="004C36EB">
        <w:rPr>
          <w:rFonts w:ascii="Arial" w:eastAsia="Times New Roman" w:hAnsi="Arial" w:cs="Arial"/>
          <w:color w:val="222222"/>
          <w:szCs w:val="18"/>
          <w:lang w:eastAsia="fi-FI"/>
        </w:rPr>
        <w:lastRenderedPageBreak/>
        <w:t xml:space="preserve">(33 prosenttia </w:t>
      </w:r>
      <w:proofErr w:type="spellStart"/>
      <w:r w:rsidRPr="004C36EB">
        <w:rPr>
          <w:rFonts w:ascii="Arial" w:eastAsia="Times New Roman" w:hAnsi="Arial" w:cs="Arial"/>
          <w:color w:val="222222"/>
          <w:szCs w:val="18"/>
          <w:lang w:eastAsia="fi-FI"/>
        </w:rPr>
        <w:t>ESR:sta</w:t>
      </w:r>
      <w:proofErr w:type="spellEnd"/>
      <w:r w:rsidRPr="004C36EB">
        <w:rPr>
          <w:rFonts w:ascii="Arial" w:eastAsia="Times New Roman" w:hAnsi="Arial" w:cs="Arial"/>
          <w:color w:val="222222"/>
          <w:szCs w:val="18"/>
          <w:lang w:eastAsia="fi-FI"/>
        </w:rPr>
        <w:t xml:space="preserve">) sekä sosiaalinen osallisuus ja köyhyyden torjunta (20 prosenttia </w:t>
      </w:r>
      <w:proofErr w:type="spellStart"/>
      <w:r w:rsidRPr="004C36EB">
        <w:rPr>
          <w:rFonts w:ascii="Arial" w:eastAsia="Times New Roman" w:hAnsi="Arial" w:cs="Arial"/>
          <w:color w:val="222222"/>
          <w:szCs w:val="18"/>
          <w:lang w:eastAsia="fi-FI"/>
        </w:rPr>
        <w:t>ESR:sta</w:t>
      </w:r>
      <w:proofErr w:type="spellEnd"/>
      <w:r w:rsidRPr="004C36EB">
        <w:rPr>
          <w:rFonts w:ascii="Arial" w:eastAsia="Times New Roman" w:hAnsi="Arial" w:cs="Arial"/>
          <w:color w:val="222222"/>
          <w:szCs w:val="18"/>
          <w:lang w:eastAsia="fi-FI"/>
        </w:rPr>
        <w:t xml:space="preserve">). Vähähiiliseen talouteen käytetään yhteensä 25 prosenttia EAKR:stä.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proofErr w:type="gramStart"/>
      <w:r w:rsidRPr="004C36EB">
        <w:rPr>
          <w:rFonts w:ascii="Arial" w:eastAsia="Times New Roman" w:hAnsi="Arial" w:cs="Arial"/>
          <w:color w:val="222222"/>
          <w:szCs w:val="18"/>
          <w:lang w:eastAsia="fi-FI"/>
        </w:rPr>
        <w:t>-</w:t>
      </w:r>
      <w:proofErr w:type="gramEnd"/>
      <w:r w:rsidRPr="004C36EB">
        <w:rPr>
          <w:rFonts w:ascii="Arial" w:eastAsia="Times New Roman" w:hAnsi="Arial" w:cs="Arial"/>
          <w:color w:val="222222"/>
          <w:szCs w:val="18"/>
          <w:lang w:eastAsia="fi-FI"/>
        </w:rPr>
        <w:t xml:space="preserve"> Pidän hyvänä, että toimintalinjoja vähennettiin kahdella aiemmin sovitusta, mikä selkeyttää ja tiivistää tulevaa toimintaa. Samalla pystyimme nostamaan vähähiilisen talouden tavoitetta EU:n edellyttämästä 20 prosentista 25 prosenttiin kuitenkin siten, että se toteutetaan osana kahta muuta EAKR-toimintalinjaa, eikä itsenäisenä omana toimintalinjana, Vapaavuori toteaa.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 xml:space="preserve">Osa rahoituksesta valtakunnallisiin teemoihin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Ohjelman perusrahoituksesta käytetään valtakunnallisiin teemoihin EAKR:ssä 10 prosenttia ja ESR:ssä 25 prosenttia. Valtakunnallisten teemojen rahoitus on hallinnon ja aluekehityksen ministerityöryhmän vuosi sitten linjaaman päätöksen alarajojen mukainen. Rahoituksen painotus on siten selkeästi aluetasolla.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Valtakunnallisilla teemoilla luodaan toimintamalleja ja laaja-alaisia hankkeita, jotka tukevat alueellista toimintaa.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EAKR:n valtakunnallinen toiminta kohdennetaan työ- ja elinkeinoministeriön hallinnonalalle pääasiallisesti yritys- ja innovaatioverkostot -teemaan, jonka osana toteutetaan myös vähähiilisen talouden tavoitetta yhteistyössä ympäristöministeriön kanssa. Valtakunnallinen teema täydentää alueellisia hankkeita osaamis- ja innovaatiokeskittymien vahvistamisessa.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ESR:n osalta valtakunnallista rahoitusta kohdennetaan sosiaali- ja terveysministeriön, opetus- ja kulttuuriministeriön sekä työ- ja elinkeinoministeriön hallinnonaloilla hankkeisiin, jotka koordinoivat ja tukevat alueellista toimintaa nuorisotakuun toteutumisessa, työvoiman liikkuvuudessa Euroopassa, maahanmuuttajien kotouttamisessa, koulutusjärjestelmän kehittämissä siirtymiä tukevaksi, kasvu- ja rakennemuutosalojen tarvitseman osaamisen lisäämisessä sekä työelämän ulkopuolella olevien työ- ja toimintakyvyn vahvistamisessa.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 xml:space="preserve">Uuden rakennerahastokauden valmistelu jatkuu koko loppuvuoden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 </w:t>
      </w: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Tulevan rakennerahastokauden valmistelu jatkuu kesäkuussa hallinnon ja aluekehityksen ministerityöryhmässä, joka vastaa myös Suomen ja komission välisen kumppanuussopimuksen käsittelystä. Ohjelma hyväksytään valtioneuvoston yleisistunnossa ennen sen toimittamista Euroopan komission hyväksyttäväksi. Uusi ohjelmakausi ja hankkeiden rahoitus alkavat vuoden 2014 alusta. </w:t>
      </w:r>
    </w:p>
    <w:p w:rsidR="004C36EB" w:rsidRPr="004C36EB" w:rsidRDefault="004C36EB" w:rsidP="004C36EB">
      <w:pPr>
        <w:spacing w:after="0" w:line="240" w:lineRule="atLeast"/>
        <w:rPr>
          <w:rFonts w:ascii="Arial" w:eastAsia="Times New Roman" w:hAnsi="Arial" w:cs="Arial"/>
          <w:color w:val="222222"/>
          <w:szCs w:val="18"/>
          <w:lang w:eastAsia="fi-FI"/>
        </w:rPr>
      </w:pPr>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 xml:space="preserve">Lisätietoja työ- ja elinkeinoministeriön verkkosivuilta osoitteesta </w:t>
      </w:r>
      <w:hyperlink r:id="rId5" w:history="1">
        <w:r w:rsidRPr="004C36EB">
          <w:rPr>
            <w:rFonts w:ascii="Arial" w:eastAsia="Times New Roman" w:hAnsi="Arial" w:cs="Arial"/>
            <w:color w:val="006AB3"/>
            <w:szCs w:val="18"/>
            <w:lang w:eastAsia="fi-FI"/>
          </w:rPr>
          <w:t>www.tem.fi/ohjelma2014</w:t>
        </w:r>
      </w:hyperlink>
    </w:p>
    <w:p w:rsidR="004C36EB" w:rsidRPr="004C36EB" w:rsidRDefault="00542C4A" w:rsidP="004C36EB">
      <w:pPr>
        <w:spacing w:after="0" w:line="240" w:lineRule="atLeast"/>
        <w:rPr>
          <w:rFonts w:ascii="Arial" w:eastAsia="Times New Roman" w:hAnsi="Arial" w:cs="Arial"/>
          <w:color w:val="222222"/>
          <w:szCs w:val="18"/>
          <w:lang w:eastAsia="fi-FI"/>
        </w:rPr>
      </w:pPr>
      <w:hyperlink r:id="rId6" w:history="1">
        <w:r w:rsidR="004C36EB" w:rsidRPr="004C36EB">
          <w:rPr>
            <w:rFonts w:ascii="Arial" w:eastAsia="Times New Roman" w:hAnsi="Arial" w:cs="Arial"/>
            <w:color w:val="006AB3"/>
            <w:szCs w:val="18"/>
            <w:lang w:eastAsia="fi-FI"/>
          </w:rPr>
          <w:br/>
        </w:r>
      </w:hyperlink>
    </w:p>
    <w:p w:rsidR="004C36EB" w:rsidRPr="004C36EB" w:rsidRDefault="004C36EB" w:rsidP="004C36EB">
      <w:pPr>
        <w:spacing w:after="0" w:line="240" w:lineRule="atLeast"/>
        <w:rPr>
          <w:rFonts w:ascii="Arial" w:eastAsia="Times New Roman" w:hAnsi="Arial" w:cs="Arial"/>
          <w:color w:val="222222"/>
          <w:szCs w:val="18"/>
          <w:lang w:eastAsia="fi-FI"/>
        </w:rPr>
      </w:pPr>
      <w:r w:rsidRPr="004C36EB">
        <w:rPr>
          <w:rFonts w:ascii="Arial" w:eastAsia="Times New Roman" w:hAnsi="Arial" w:cs="Arial"/>
          <w:b/>
          <w:bCs/>
          <w:color w:val="222222"/>
          <w:szCs w:val="18"/>
          <w:lang w:eastAsia="fi-FI"/>
        </w:rPr>
        <w:t>Lisätiedot:</w:t>
      </w:r>
    </w:p>
    <w:p w:rsidR="004C36EB" w:rsidRPr="004C36EB" w:rsidRDefault="004C36EB" w:rsidP="004C36EB">
      <w:pPr>
        <w:spacing w:after="150" w:line="240" w:lineRule="atLeast"/>
        <w:rPr>
          <w:rFonts w:ascii="Arial" w:eastAsia="Times New Roman" w:hAnsi="Arial" w:cs="Arial"/>
          <w:color w:val="222222"/>
          <w:szCs w:val="18"/>
          <w:lang w:eastAsia="fi-FI"/>
        </w:rPr>
      </w:pPr>
      <w:r w:rsidRPr="004C36EB">
        <w:rPr>
          <w:rFonts w:ascii="Arial" w:eastAsia="Times New Roman" w:hAnsi="Arial" w:cs="Arial"/>
          <w:color w:val="222222"/>
          <w:szCs w:val="18"/>
          <w:lang w:eastAsia="fi-FI"/>
        </w:rPr>
        <w:t>elinkeinoministerin erityisavustaja Pete Pokkinen, puh. 040 756 7180</w:t>
      </w:r>
      <w:r w:rsidRPr="004C36EB">
        <w:rPr>
          <w:rFonts w:ascii="Arial" w:eastAsia="Times New Roman" w:hAnsi="Arial" w:cs="Arial"/>
          <w:color w:val="222222"/>
          <w:szCs w:val="18"/>
          <w:lang w:eastAsia="fi-FI"/>
        </w:rPr>
        <w:br/>
        <w:t>työministerin valtiosihteeri Janne Metsämäki, puh. 029 504 8014</w:t>
      </w:r>
      <w:r w:rsidRPr="004C36EB">
        <w:rPr>
          <w:rFonts w:ascii="Arial" w:eastAsia="Times New Roman" w:hAnsi="Arial" w:cs="Arial"/>
          <w:color w:val="222222"/>
          <w:szCs w:val="18"/>
          <w:lang w:eastAsia="fi-FI"/>
        </w:rPr>
        <w:br/>
        <w:t xml:space="preserve">aluekehitysjohtaja Kaisa-Leena </w:t>
      </w:r>
      <w:proofErr w:type="spellStart"/>
      <w:r w:rsidRPr="004C36EB">
        <w:rPr>
          <w:rFonts w:ascii="Arial" w:eastAsia="Times New Roman" w:hAnsi="Arial" w:cs="Arial"/>
          <w:color w:val="222222"/>
          <w:szCs w:val="18"/>
          <w:lang w:eastAsia="fi-FI"/>
        </w:rPr>
        <w:t>Lintilä</w:t>
      </w:r>
      <w:proofErr w:type="spellEnd"/>
      <w:r w:rsidRPr="004C36EB">
        <w:rPr>
          <w:rFonts w:ascii="Arial" w:eastAsia="Times New Roman" w:hAnsi="Arial" w:cs="Arial"/>
          <w:color w:val="222222"/>
          <w:szCs w:val="18"/>
          <w:lang w:eastAsia="fi-FI"/>
        </w:rPr>
        <w:t>, TEM, puh. 029 506 4935</w:t>
      </w:r>
    </w:p>
    <w:p w:rsidR="00926B39" w:rsidRDefault="00926B39" w:rsidP="004C36EB"/>
    <w:sectPr w:rsidR="00926B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EB"/>
    <w:rsid w:val="004C36EB"/>
    <w:rsid w:val="00542C4A"/>
    <w:rsid w:val="00926B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ewstitle2">
    <w:name w:val="newstitle2"/>
    <w:basedOn w:val="Normaali"/>
    <w:rsid w:val="004C36EB"/>
    <w:pPr>
      <w:spacing w:after="150" w:line="240" w:lineRule="auto"/>
    </w:pPr>
    <w:rPr>
      <w:rFonts w:ascii="Times New Roman" w:eastAsia="Times New Roman" w:hAnsi="Times New Roman" w:cs="Times New Roman"/>
      <w:color w:val="222222"/>
      <w:sz w:val="27"/>
      <w:szCs w:val="27"/>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ewstitle2">
    <w:name w:val="newstitle2"/>
    <w:basedOn w:val="Normaali"/>
    <w:rsid w:val="004C36EB"/>
    <w:pPr>
      <w:spacing w:after="150" w:line="240" w:lineRule="auto"/>
    </w:pPr>
    <w:rPr>
      <w:rFonts w:ascii="Times New Roman" w:eastAsia="Times New Roman" w:hAnsi="Times New Roman" w:cs="Times New Roman"/>
      <w:color w:val="222222"/>
      <w:sz w:val="27"/>
      <w:szCs w:val="2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61157">
      <w:bodyDiv w:val="1"/>
      <w:marLeft w:val="0"/>
      <w:marRight w:val="0"/>
      <w:marTop w:val="0"/>
      <w:marBottom w:val="0"/>
      <w:divBdr>
        <w:top w:val="none" w:sz="0" w:space="0" w:color="auto"/>
        <w:left w:val="none" w:sz="0" w:space="0" w:color="auto"/>
        <w:bottom w:val="none" w:sz="0" w:space="0" w:color="auto"/>
        <w:right w:val="none" w:sz="0" w:space="0" w:color="auto"/>
      </w:divBdr>
      <w:divsChild>
        <w:div w:id="1566796391">
          <w:marLeft w:val="150"/>
          <w:marRight w:val="150"/>
          <w:marTop w:val="300"/>
          <w:marBottom w:val="0"/>
          <w:divBdr>
            <w:top w:val="none" w:sz="0" w:space="0" w:color="auto"/>
            <w:left w:val="none" w:sz="0" w:space="0" w:color="auto"/>
            <w:bottom w:val="none" w:sz="0" w:space="0" w:color="auto"/>
            <w:right w:val="none" w:sz="0" w:space="0" w:color="auto"/>
          </w:divBdr>
          <w:divsChild>
            <w:div w:id="1664969005">
              <w:marLeft w:val="300"/>
              <w:marRight w:val="300"/>
              <w:marTop w:val="0"/>
              <w:marBottom w:val="150"/>
              <w:divBdr>
                <w:top w:val="none" w:sz="0" w:space="0" w:color="auto"/>
                <w:left w:val="none" w:sz="0" w:space="0" w:color="auto"/>
                <w:bottom w:val="none" w:sz="0" w:space="0" w:color="auto"/>
                <w:right w:val="none" w:sz="0" w:space="0" w:color="auto"/>
              </w:divBdr>
              <w:divsChild>
                <w:div w:id="1685129146">
                  <w:marLeft w:val="0"/>
                  <w:marRight w:val="0"/>
                  <w:marTop w:val="0"/>
                  <w:marBottom w:val="0"/>
                  <w:divBdr>
                    <w:top w:val="none" w:sz="0" w:space="0" w:color="auto"/>
                    <w:left w:val="none" w:sz="0" w:space="0" w:color="auto"/>
                    <w:bottom w:val="none" w:sz="0" w:space="0" w:color="auto"/>
                    <w:right w:val="none" w:sz="0" w:space="0" w:color="auto"/>
                  </w:divBdr>
                  <w:divsChild>
                    <w:div w:id="2102798895">
                      <w:marLeft w:val="0"/>
                      <w:marRight w:val="0"/>
                      <w:marTop w:val="0"/>
                      <w:marBottom w:val="0"/>
                      <w:divBdr>
                        <w:top w:val="none" w:sz="0" w:space="0" w:color="auto"/>
                        <w:left w:val="none" w:sz="0" w:space="0" w:color="auto"/>
                        <w:bottom w:val="none" w:sz="0" w:space="0" w:color="auto"/>
                        <w:right w:val="none" w:sz="0" w:space="0" w:color="auto"/>
                      </w:divBdr>
                      <w:divsChild>
                        <w:div w:id="1615014831">
                          <w:marLeft w:val="0"/>
                          <w:marRight w:val="0"/>
                          <w:marTop w:val="0"/>
                          <w:marBottom w:val="0"/>
                          <w:divBdr>
                            <w:top w:val="none" w:sz="0" w:space="0" w:color="auto"/>
                            <w:left w:val="none" w:sz="0" w:space="0" w:color="auto"/>
                            <w:bottom w:val="none" w:sz="0" w:space="0" w:color="auto"/>
                            <w:right w:val="none" w:sz="0" w:space="0" w:color="auto"/>
                          </w:divBdr>
                          <w:divsChild>
                            <w:div w:id="2260401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m.fi/ohjelma2014" TargetMode="External"/><Relationship Id="rId5" Type="http://schemas.openxmlformats.org/officeDocument/2006/relationships/hyperlink" Target="http://www.tem.fi/alueiden_kehittaminen/eu_n_alue-_ja_rakennepolitiikka/eu_n_rakennerahasto-ohjelman_valmistelu_2014-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5273</Characters>
  <Application>Microsoft Office Word</Application>
  <DocSecurity>4</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Kainuun maakunta -kuntayhtymä</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Malinen Pentti</dc:creator>
  <cp:keywords/>
  <dc:description/>
  <cp:lastModifiedBy>mhpaloil</cp:lastModifiedBy>
  <cp:revision>2</cp:revision>
  <dcterms:created xsi:type="dcterms:W3CDTF">2013-06-04T12:51:00Z</dcterms:created>
  <dcterms:modified xsi:type="dcterms:W3CDTF">2013-06-04T12:51:00Z</dcterms:modified>
</cp:coreProperties>
</file>